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603C60B5"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620DC412" w:rsidR="00E66558" w:rsidRDefault="009D71E8">
      <w:pPr>
        <w:pStyle w:val="Heading2"/>
        <w:rPr>
          <w:b w:val="0"/>
          <w:bCs/>
          <w:color w:val="auto"/>
          <w:sz w:val="24"/>
          <w:szCs w:val="24"/>
        </w:rPr>
      </w:pPr>
      <w:r>
        <w:rPr>
          <w:b w:val="0"/>
          <w:bCs/>
          <w:color w:val="auto"/>
          <w:sz w:val="24"/>
          <w:szCs w:val="24"/>
        </w:rPr>
        <w:t>This statement details our school’s use of pupil premium (a</w:t>
      </w:r>
      <w:r w:rsidR="000B5E52">
        <w:rPr>
          <w:b w:val="0"/>
          <w:bCs/>
          <w:color w:val="auto"/>
          <w:sz w:val="24"/>
          <w:szCs w:val="24"/>
        </w:rPr>
        <w:t>nd recovery premium for the 2023 to 2024</w:t>
      </w:r>
      <w:r>
        <w:rPr>
          <w:b w:val="0"/>
          <w:bCs/>
          <w:color w:val="auto"/>
          <w:sz w:val="24"/>
          <w:szCs w:val="24"/>
        </w:rPr>
        <w:t xml:space="preserve"> academic year) funding to help improve the attainment of our disadvantaged pupils. </w:t>
      </w:r>
    </w:p>
    <w:p w14:paraId="2A7D54B3" w14:textId="4F8265B1" w:rsidR="00E66558" w:rsidRDefault="009D71E8">
      <w:pPr>
        <w:pStyle w:val="Heading2"/>
        <w:spacing w:before="240"/>
        <w:rPr>
          <w:b w:val="0"/>
          <w:bCs/>
          <w:color w:val="auto"/>
          <w:sz w:val="24"/>
          <w:szCs w:val="24"/>
        </w:rPr>
      </w:pPr>
      <w:r>
        <w:rPr>
          <w:b w:val="0"/>
          <w:bCs/>
          <w:color w:val="auto"/>
          <w:sz w:val="24"/>
          <w:szCs w:val="24"/>
        </w:rPr>
        <w:t xml:space="preserve">It outlines our </w:t>
      </w:r>
      <w:proofErr w:type="gramStart"/>
      <w:r w:rsidR="004413BF">
        <w:rPr>
          <w:b w:val="0"/>
          <w:bCs/>
          <w:color w:val="auto"/>
          <w:sz w:val="24"/>
          <w:szCs w:val="24"/>
        </w:rPr>
        <w:t>three year</w:t>
      </w:r>
      <w:proofErr w:type="gramEnd"/>
      <w:r w:rsidR="004413BF">
        <w:rPr>
          <w:b w:val="0"/>
          <w:bCs/>
          <w:color w:val="auto"/>
          <w:sz w:val="24"/>
          <w:szCs w:val="24"/>
        </w:rPr>
        <w:t xml:space="preserve"> </w:t>
      </w:r>
      <w:r>
        <w:rPr>
          <w:b w:val="0"/>
          <w:bCs/>
          <w:color w:val="auto"/>
          <w:sz w:val="24"/>
          <w:szCs w:val="24"/>
        </w:rPr>
        <w:t>pupil premium strategy</w:t>
      </w:r>
      <w:r w:rsidR="0072669B">
        <w:rPr>
          <w:b w:val="0"/>
          <w:bCs/>
          <w:color w:val="auto"/>
          <w:sz w:val="24"/>
          <w:szCs w:val="24"/>
        </w:rPr>
        <w:t xml:space="preserve"> (2021-2024)</w:t>
      </w:r>
      <w:r>
        <w:rPr>
          <w:b w:val="0"/>
          <w:bCs/>
          <w:color w:val="auto"/>
          <w:sz w:val="24"/>
          <w:szCs w:val="24"/>
        </w:rPr>
        <w:t xml:space="preserve">,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4B773EF0" w:rsidR="00E66558" w:rsidRDefault="00D50A79">
            <w:pPr>
              <w:pStyle w:val="TableRow"/>
            </w:pPr>
            <w:r>
              <w:t>Springfields First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0844F2B9" w:rsidR="00E66558" w:rsidRDefault="000B5E52">
            <w:pPr>
              <w:pStyle w:val="TableRow"/>
            </w:pPr>
            <w:r>
              <w:t>168</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584D7189" w:rsidR="00E66558" w:rsidRDefault="008E6D31">
            <w:pPr>
              <w:pStyle w:val="TableRow"/>
            </w:pPr>
            <w:r w:rsidRPr="008E6D31">
              <w:t>15.4</w:t>
            </w:r>
            <w:r w:rsidR="00D50A79">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470814EB" w:rsidR="00E66558" w:rsidRDefault="000B5E52">
            <w:pPr>
              <w:pStyle w:val="TableRow"/>
            </w:pPr>
            <w:r>
              <w:t>2021 – 2024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A0A21C0" w:rsidR="00E66558" w:rsidRDefault="000B5E52">
            <w:pPr>
              <w:pStyle w:val="TableRow"/>
            </w:pPr>
            <w:r>
              <w:t>Dec</w:t>
            </w:r>
            <w:r w:rsidR="007308C8">
              <w:t>ember</w:t>
            </w:r>
            <w:r>
              <w:t xml:space="preserve"> 2023</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64E58964" w:rsidR="00E66558" w:rsidRDefault="000B5E52">
            <w:pPr>
              <w:pStyle w:val="TableRow"/>
            </w:pPr>
            <w:r>
              <w:t>December 2024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2E8C1F03" w:rsidR="00E66558" w:rsidRDefault="00D50A79">
            <w:pPr>
              <w:pStyle w:val="TableRow"/>
            </w:pPr>
            <w:r>
              <w:t>Alison Bagnall</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635A0B09" w:rsidR="00E66558" w:rsidRDefault="00D50A79">
            <w:pPr>
              <w:pStyle w:val="TableRow"/>
            </w:pPr>
            <w:r>
              <w:t>Alison Bagnall</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344B01D1" w:rsidR="00E66558" w:rsidRDefault="000B5E52">
            <w:pPr>
              <w:pStyle w:val="TableRow"/>
            </w:pPr>
            <w:r>
              <w:t>Mr M Worthington</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523CB4F3" w:rsidR="00E66558" w:rsidRDefault="009D71E8">
            <w:pPr>
              <w:pStyle w:val="TableRow"/>
            </w:pPr>
            <w:r w:rsidRPr="00E23474">
              <w:rPr>
                <w:color w:val="auto"/>
              </w:rPr>
              <w:t>£</w:t>
            </w:r>
            <w:r w:rsidR="002A7FE9">
              <w:rPr>
                <w:color w:val="auto"/>
              </w:rPr>
              <w:t>38,490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2B7D688E" w:rsidR="00E66558" w:rsidRDefault="009D71E8">
            <w:pPr>
              <w:pStyle w:val="TableRow"/>
            </w:pPr>
            <w:r w:rsidRPr="00E23474">
              <w:t>£</w:t>
            </w:r>
            <w:r w:rsidR="00E23474" w:rsidRPr="00E23474">
              <w:t>3190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1940BF4E" w:rsidR="00E66558" w:rsidRDefault="009D71E8">
            <w:pPr>
              <w:pStyle w:val="TableRow"/>
            </w:pPr>
            <w:r>
              <w:t>£</w:t>
            </w:r>
            <w:r w:rsidR="00D50A79">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52E74FB8" w:rsidR="00E66558" w:rsidRDefault="009D71E8">
            <w:pPr>
              <w:pStyle w:val="TableRow"/>
            </w:pPr>
            <w:r w:rsidRPr="00E23474">
              <w:t>£</w:t>
            </w:r>
            <w:r w:rsidR="002A7FE9">
              <w:t>41,680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2FE02" w14:textId="77777777" w:rsidR="00D50A79" w:rsidRDefault="00D50A79" w:rsidP="00D50A79">
            <w:r>
              <w:t>The pupil premium grant is additional funding allocated to publicly funded schools to raise the attainment of disadvantaged pupils and support pupils with parents in the armed forces.</w:t>
            </w:r>
          </w:p>
          <w:p w14:paraId="10B75F75" w14:textId="77777777" w:rsidR="00D50A79" w:rsidRPr="00014DE0" w:rsidRDefault="00D50A79" w:rsidP="00D50A79">
            <w:r>
              <w:t>The school will use the grant to support these groups, which comprise pupils with a range of different abilities, to narrow any achievement gaps between them and their peers.</w:t>
            </w:r>
          </w:p>
          <w:p w14:paraId="38F8AAC2" w14:textId="77777777" w:rsidR="00E66558" w:rsidRDefault="00D50A79" w:rsidP="00707B09">
            <w:r>
              <w:t>We also recognise that not all pupils eligible for pupil premium funding will have lower attainment than their peers. In such cases, the grant will be used to help improve pupils’ progress and attainment so that they can reach their full potential.</w:t>
            </w:r>
          </w:p>
          <w:p w14:paraId="1991348E" w14:textId="77777777" w:rsidR="00707B09" w:rsidRDefault="00707B09" w:rsidP="00707B09">
            <w:r>
              <w:t>At Springfields First School we use PP funding to:</w:t>
            </w:r>
          </w:p>
          <w:p w14:paraId="2AA588A8" w14:textId="4AE6B19B" w:rsidR="00707B09" w:rsidRDefault="00707B09" w:rsidP="00707B09">
            <w:pPr>
              <w:pStyle w:val="ListParagraph"/>
              <w:numPr>
                <w:ilvl w:val="0"/>
                <w:numId w:val="14"/>
              </w:numPr>
            </w:pPr>
            <w:r>
              <w:t>Provide Quality First Teaching – training for teaching</w:t>
            </w:r>
          </w:p>
          <w:p w14:paraId="0F38541D" w14:textId="373D1C1B" w:rsidR="00707B09" w:rsidRDefault="00707B09" w:rsidP="00707B09">
            <w:pPr>
              <w:pStyle w:val="ListParagraph"/>
              <w:numPr>
                <w:ilvl w:val="0"/>
                <w:numId w:val="14"/>
              </w:numPr>
            </w:pPr>
            <w:r>
              <w:t>Class support for basic skills</w:t>
            </w:r>
          </w:p>
          <w:p w14:paraId="2DFFB837" w14:textId="299038FA" w:rsidR="00707B09" w:rsidRDefault="00707B09" w:rsidP="00707B09">
            <w:pPr>
              <w:pStyle w:val="ListParagraph"/>
              <w:numPr>
                <w:ilvl w:val="0"/>
                <w:numId w:val="14"/>
              </w:numPr>
            </w:pPr>
            <w:r>
              <w:t>Small group interventions</w:t>
            </w:r>
          </w:p>
          <w:p w14:paraId="4D637B91" w14:textId="77777777" w:rsidR="00707B09" w:rsidRDefault="00707B09" w:rsidP="00707B09">
            <w:pPr>
              <w:pStyle w:val="ListParagraph"/>
              <w:numPr>
                <w:ilvl w:val="0"/>
                <w:numId w:val="14"/>
              </w:numPr>
            </w:pPr>
            <w:r>
              <w:t xml:space="preserve">One to one </w:t>
            </w:r>
            <w:proofErr w:type="gramStart"/>
            <w:r>
              <w:t>interventions</w:t>
            </w:r>
            <w:proofErr w:type="gramEnd"/>
          </w:p>
          <w:p w14:paraId="0416CE4B" w14:textId="77777777" w:rsidR="00707B09" w:rsidRDefault="00707B09" w:rsidP="00707B09">
            <w:pPr>
              <w:pStyle w:val="ListParagraph"/>
              <w:numPr>
                <w:ilvl w:val="0"/>
                <w:numId w:val="14"/>
              </w:numPr>
            </w:pPr>
            <w:r>
              <w:t>Provide nurture groups</w:t>
            </w:r>
          </w:p>
          <w:p w14:paraId="68019901" w14:textId="77777777" w:rsidR="00707B09" w:rsidRDefault="00707B09" w:rsidP="00707B09">
            <w:pPr>
              <w:pStyle w:val="ListParagraph"/>
              <w:numPr>
                <w:ilvl w:val="0"/>
                <w:numId w:val="14"/>
              </w:numPr>
            </w:pPr>
            <w:r>
              <w:t>Extended opportunities for pupils – sports clubs/educational visits and residential stays/music lessons</w:t>
            </w:r>
          </w:p>
          <w:p w14:paraId="0BF8A905" w14:textId="77777777" w:rsidR="00707B09" w:rsidRDefault="00707B09" w:rsidP="00707B09">
            <w:pPr>
              <w:pStyle w:val="ListParagraph"/>
              <w:numPr>
                <w:ilvl w:val="0"/>
                <w:numId w:val="14"/>
              </w:numPr>
            </w:pPr>
            <w:r>
              <w:t>Specific resources</w:t>
            </w:r>
          </w:p>
          <w:p w14:paraId="54780E60" w14:textId="77777777" w:rsidR="00707B09" w:rsidRDefault="00707B09" w:rsidP="00707B09">
            <w:pPr>
              <w:pStyle w:val="ListParagraph"/>
              <w:numPr>
                <w:ilvl w:val="0"/>
                <w:numId w:val="14"/>
              </w:numPr>
            </w:pPr>
            <w:r>
              <w:t>Specific assessments</w:t>
            </w:r>
          </w:p>
          <w:p w14:paraId="2A7D54E9" w14:textId="4CF5F33D" w:rsidR="00007872" w:rsidRPr="00707B09" w:rsidRDefault="00007872" w:rsidP="00707B09">
            <w:pPr>
              <w:pStyle w:val="ListParagraph"/>
              <w:numPr>
                <w:ilvl w:val="0"/>
                <w:numId w:val="14"/>
              </w:numPr>
            </w:pPr>
            <w:r>
              <w:t>Alternative provision</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412A9B1" w:rsidR="00E66558" w:rsidRPr="00A64368" w:rsidRDefault="00707B09">
            <w:pPr>
              <w:pStyle w:val="TableRowCentered"/>
              <w:jc w:val="left"/>
            </w:pPr>
            <w:r w:rsidRPr="00A64368">
              <w:rPr>
                <w:iCs/>
                <w:sz w:val="22"/>
                <w:szCs w:val="22"/>
              </w:rPr>
              <w:t>Entering EYFS at lower levels in language/communication and basic skills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FB21C7B" w:rsidR="00E66558" w:rsidRDefault="00707B09">
            <w:pPr>
              <w:pStyle w:val="TableRowCentered"/>
              <w:jc w:val="left"/>
              <w:rPr>
                <w:sz w:val="22"/>
                <w:szCs w:val="22"/>
              </w:rPr>
            </w:pPr>
            <w:r>
              <w:rPr>
                <w:sz w:val="22"/>
                <w:szCs w:val="22"/>
              </w:rPr>
              <w:t>Lack of parental engagement in learning</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646AFAD" w:rsidR="00E66558" w:rsidRDefault="00A64368">
            <w:pPr>
              <w:pStyle w:val="TableRowCentered"/>
              <w:jc w:val="left"/>
              <w:rPr>
                <w:sz w:val="22"/>
                <w:szCs w:val="22"/>
              </w:rPr>
            </w:pPr>
            <w:r>
              <w:rPr>
                <w:sz w:val="22"/>
                <w:szCs w:val="22"/>
              </w:rPr>
              <w:t xml:space="preserve">Lack of parental knowledge </w:t>
            </w:r>
            <w:r w:rsidR="006D0B59">
              <w:rPr>
                <w:sz w:val="22"/>
                <w:szCs w:val="22"/>
              </w:rPr>
              <w:t xml:space="preserve">about how </w:t>
            </w:r>
            <w:r>
              <w:rPr>
                <w:sz w:val="22"/>
                <w:szCs w:val="22"/>
              </w:rPr>
              <w:t>to engage in child’s learning</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15316458" w:rsidR="00E66558" w:rsidRDefault="00A64368">
            <w:pPr>
              <w:pStyle w:val="TableRowCentered"/>
              <w:jc w:val="left"/>
              <w:rPr>
                <w:iCs/>
                <w:sz w:val="22"/>
              </w:rPr>
            </w:pPr>
            <w:r>
              <w:rPr>
                <w:iCs/>
                <w:sz w:val="22"/>
              </w:rPr>
              <w:t xml:space="preserve">Lack of opportunities </w:t>
            </w:r>
            <w:proofErr w:type="spellStart"/>
            <w:proofErr w:type="gramStart"/>
            <w:r>
              <w:rPr>
                <w:iCs/>
                <w:sz w:val="22"/>
              </w:rPr>
              <w:t>eg</w:t>
            </w:r>
            <w:proofErr w:type="spellEnd"/>
            <w:proofErr w:type="gramEnd"/>
            <w:r>
              <w:rPr>
                <w:iCs/>
                <w:sz w:val="22"/>
              </w:rPr>
              <w:t xml:space="preserve"> to attend clubs outside school </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1219F1CF" w:rsidR="00E66558" w:rsidRDefault="00A64368">
            <w:pPr>
              <w:pStyle w:val="TableRowCentered"/>
              <w:jc w:val="left"/>
              <w:rPr>
                <w:iCs/>
                <w:sz w:val="22"/>
              </w:rPr>
            </w:pPr>
            <w:r>
              <w:rPr>
                <w:iCs/>
                <w:sz w:val="22"/>
              </w:rPr>
              <w:t>Specific SEND including attachment issues</w:t>
            </w:r>
          </w:p>
        </w:tc>
      </w:tr>
    </w:tbl>
    <w:p w14:paraId="2A7D54FF" w14:textId="77777777" w:rsidR="00E66558" w:rsidRDefault="009D71E8">
      <w:pPr>
        <w:pStyle w:val="Heading2"/>
        <w:spacing w:before="600"/>
      </w:pPr>
      <w:r>
        <w:lastRenderedPageBreak/>
        <w:t xml:space="preserve">Intended outcomes </w:t>
      </w:r>
    </w:p>
    <w:p w14:paraId="2A7D5500" w14:textId="24771C8B" w:rsidR="00E66558" w:rsidRDefault="009D71E8">
      <w:r>
        <w:rPr>
          <w:color w:val="auto"/>
        </w:rPr>
        <w:t xml:space="preserve">This explains the outcomes we are aiming for </w:t>
      </w:r>
      <w:r>
        <w:rPr>
          <w:b/>
          <w:bCs/>
          <w:color w:val="auto"/>
        </w:rPr>
        <w:t>by the end of our current strategy plan</w:t>
      </w:r>
      <w:r w:rsidR="0072669B">
        <w:rPr>
          <w:b/>
          <w:bCs/>
          <w:color w:val="auto"/>
        </w:rPr>
        <w:t xml:space="preserve"> (2024)</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150EBEC6" w:rsidR="00E66558" w:rsidRPr="00A64368" w:rsidRDefault="00A64368">
            <w:pPr>
              <w:pStyle w:val="TableRow"/>
            </w:pPr>
            <w:r w:rsidRPr="00A64368">
              <w:rPr>
                <w:iCs/>
                <w:sz w:val="22"/>
                <w:szCs w:val="22"/>
              </w:rPr>
              <w:t>Attainment gap is closing and/or is similar to non-Pupil Premium children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1D7F96CF" w:rsidR="00E66558" w:rsidRDefault="004F3E89" w:rsidP="003B1313">
            <w:pPr>
              <w:pStyle w:val="TableRowCentered"/>
              <w:jc w:val="left"/>
              <w:rPr>
                <w:sz w:val="22"/>
                <w:szCs w:val="22"/>
              </w:rPr>
            </w:pPr>
            <w:r>
              <w:rPr>
                <w:sz w:val="22"/>
                <w:szCs w:val="22"/>
              </w:rPr>
              <w:t xml:space="preserve">Disadvantaged pupils closing the attainment gap with non-disadvantaged pupils. Additional </w:t>
            </w:r>
            <w:r w:rsidR="003B1313">
              <w:rPr>
                <w:sz w:val="22"/>
                <w:szCs w:val="22"/>
              </w:rPr>
              <w:t xml:space="preserve">small group or one to one </w:t>
            </w:r>
            <w:r>
              <w:rPr>
                <w:sz w:val="22"/>
                <w:szCs w:val="22"/>
              </w:rPr>
              <w:t>supp</w:t>
            </w:r>
            <w:r w:rsidR="003B1313">
              <w:rPr>
                <w:sz w:val="22"/>
                <w:szCs w:val="22"/>
              </w:rPr>
              <w:t>ort used to accelerate learning.</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7B7894FD" w:rsidR="00E66558" w:rsidRDefault="00A64368">
            <w:pPr>
              <w:pStyle w:val="TableRow"/>
              <w:rPr>
                <w:sz w:val="22"/>
                <w:szCs w:val="22"/>
              </w:rPr>
            </w:pPr>
            <w:r>
              <w:rPr>
                <w:sz w:val="22"/>
                <w:szCs w:val="22"/>
              </w:rPr>
              <w:t>To have a member of staff who can provide emotional support and improve social skills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29E98A53" w:rsidR="00E66558" w:rsidRDefault="00882D79">
            <w:pPr>
              <w:pStyle w:val="TableRowCentered"/>
              <w:jc w:val="left"/>
              <w:rPr>
                <w:sz w:val="22"/>
                <w:szCs w:val="22"/>
              </w:rPr>
            </w:pPr>
            <w:r>
              <w:rPr>
                <w:sz w:val="22"/>
                <w:szCs w:val="22"/>
              </w:rPr>
              <w:t xml:space="preserve">HOPE support to be provided on a weekly basis for pupils to improve </w:t>
            </w:r>
            <w:proofErr w:type="gramStart"/>
            <w:r>
              <w:rPr>
                <w:sz w:val="22"/>
                <w:szCs w:val="22"/>
              </w:rPr>
              <w:t>pupils</w:t>
            </w:r>
            <w:proofErr w:type="gramEnd"/>
            <w:r>
              <w:rPr>
                <w:sz w:val="22"/>
                <w:szCs w:val="22"/>
              </w:rPr>
              <w:t xml:space="preserve"> self-esteem and social skills</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42E5D457" w:rsidR="00E66558" w:rsidRDefault="00A64368">
            <w:pPr>
              <w:pStyle w:val="TableRow"/>
              <w:rPr>
                <w:sz w:val="22"/>
                <w:szCs w:val="22"/>
              </w:rPr>
            </w:pPr>
            <w:r>
              <w:rPr>
                <w:sz w:val="22"/>
                <w:szCs w:val="22"/>
              </w:rPr>
              <w:t>Attainment gap is closing and/or is similar to non-Pupil Premium children for maths and English.</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47D32A9A" w:rsidR="00E66558" w:rsidRDefault="004F3E89">
            <w:pPr>
              <w:pStyle w:val="TableRowCentered"/>
              <w:jc w:val="left"/>
              <w:rPr>
                <w:sz w:val="22"/>
                <w:szCs w:val="22"/>
              </w:rPr>
            </w:pPr>
            <w:r>
              <w:rPr>
                <w:sz w:val="22"/>
                <w:szCs w:val="22"/>
              </w:rPr>
              <w:t xml:space="preserve">Disadvantaged pupils closing the attainment gap in </w:t>
            </w:r>
            <w:r w:rsidR="003B1313">
              <w:rPr>
                <w:sz w:val="22"/>
                <w:szCs w:val="22"/>
              </w:rPr>
              <w:t xml:space="preserve">the core areas of </w:t>
            </w:r>
            <w:r>
              <w:rPr>
                <w:sz w:val="22"/>
                <w:szCs w:val="22"/>
              </w:rPr>
              <w:t>reading, writing and maths. Additional support used to accelerate learning</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45884B6E" w:rsidR="00E66558" w:rsidRDefault="00A64368">
            <w:pPr>
              <w:pStyle w:val="TableRow"/>
              <w:rPr>
                <w:sz w:val="22"/>
                <w:szCs w:val="22"/>
              </w:rPr>
            </w:pPr>
            <w:r>
              <w:rPr>
                <w:sz w:val="22"/>
                <w:szCs w:val="22"/>
              </w:rPr>
              <w:t>P</w:t>
            </w:r>
            <w:r w:rsidR="00882D79">
              <w:rPr>
                <w:sz w:val="22"/>
                <w:szCs w:val="22"/>
              </w:rPr>
              <w:t>rovide extended school opportunities so that p</w:t>
            </w:r>
            <w:r>
              <w:rPr>
                <w:sz w:val="22"/>
                <w:szCs w:val="22"/>
              </w:rPr>
              <w:t>upils are happy and participate fully in school life with high self-esteem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1C182A88" w:rsidR="00E66558" w:rsidRDefault="00882D79">
            <w:pPr>
              <w:pStyle w:val="TableRowCentered"/>
              <w:jc w:val="left"/>
              <w:rPr>
                <w:sz w:val="22"/>
                <w:szCs w:val="22"/>
              </w:rPr>
            </w:pPr>
            <w:r>
              <w:rPr>
                <w:sz w:val="22"/>
                <w:szCs w:val="22"/>
              </w:rPr>
              <w:t>Disadvantaged pupils are able to access after school clubs</w:t>
            </w:r>
            <w:r w:rsidR="00CE6D36">
              <w:rPr>
                <w:sz w:val="22"/>
                <w:szCs w:val="22"/>
              </w:rPr>
              <w:t>, educational visits, music lessons and attend residential visits to widen opportunities and raise self-esteem.</w:t>
            </w:r>
          </w:p>
        </w:tc>
      </w:tr>
      <w:tr w:rsidR="00A64368" w14:paraId="0E371CA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75538" w14:textId="2F175199" w:rsidR="00A64368" w:rsidRDefault="00A64368">
            <w:pPr>
              <w:pStyle w:val="TableRow"/>
              <w:rPr>
                <w:sz w:val="22"/>
                <w:szCs w:val="22"/>
              </w:rPr>
            </w:pPr>
            <w:r>
              <w:rPr>
                <w:sz w:val="22"/>
                <w:szCs w:val="22"/>
              </w:rPr>
              <w:t>All pupils eligible for FSM funding are able to continue learning at home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D20FB" w14:textId="0A88CEBD" w:rsidR="00A64368" w:rsidRDefault="00CE6D36">
            <w:pPr>
              <w:pStyle w:val="TableRowCentered"/>
              <w:jc w:val="left"/>
              <w:rPr>
                <w:sz w:val="22"/>
                <w:szCs w:val="22"/>
              </w:rPr>
            </w:pPr>
            <w:r>
              <w:rPr>
                <w:sz w:val="22"/>
                <w:szCs w:val="22"/>
              </w:rPr>
              <w:t>All pupils eli</w:t>
            </w:r>
            <w:r w:rsidR="003B1313">
              <w:rPr>
                <w:sz w:val="22"/>
                <w:szCs w:val="22"/>
              </w:rPr>
              <w:t>gible for FSM’s funding are provided with the</w:t>
            </w:r>
            <w:r>
              <w:rPr>
                <w:sz w:val="22"/>
                <w:szCs w:val="22"/>
              </w:rPr>
              <w:t xml:space="preserve"> IT hardware and access to data to continue </w:t>
            </w:r>
            <w:r w:rsidR="003B1313">
              <w:rPr>
                <w:sz w:val="22"/>
                <w:szCs w:val="22"/>
              </w:rPr>
              <w:t xml:space="preserve">to </w:t>
            </w:r>
            <w:r>
              <w:rPr>
                <w:sz w:val="22"/>
                <w:szCs w:val="22"/>
              </w:rPr>
              <w:t>learn at home.</w:t>
            </w:r>
          </w:p>
        </w:tc>
      </w:tr>
      <w:tr w:rsidR="00A64368" w14:paraId="4BED1E8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C154F" w14:textId="16DD7B60" w:rsidR="00A64368" w:rsidRDefault="00A64368">
            <w:pPr>
              <w:pStyle w:val="TableRow"/>
              <w:rPr>
                <w:sz w:val="22"/>
                <w:szCs w:val="22"/>
              </w:rPr>
            </w:pPr>
            <w:r>
              <w:rPr>
                <w:sz w:val="22"/>
                <w:szCs w:val="22"/>
              </w:rPr>
              <w:t xml:space="preserve">Improve staff knowledge of attachment disorders.  All staff become more knowledgeable in supporting pupils with attachment and trauma needs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A4746" w14:textId="50DEC6BC" w:rsidR="00A64368" w:rsidRDefault="00CE6D36">
            <w:pPr>
              <w:pStyle w:val="TableRowCentered"/>
              <w:jc w:val="left"/>
              <w:rPr>
                <w:sz w:val="22"/>
                <w:szCs w:val="22"/>
              </w:rPr>
            </w:pPr>
            <w:r>
              <w:rPr>
                <w:sz w:val="22"/>
                <w:szCs w:val="22"/>
              </w:rPr>
              <w:t>Staff will have a better understanding of attachment and trauma disorders</w:t>
            </w:r>
            <w:r w:rsidR="00B5568D">
              <w:rPr>
                <w:sz w:val="22"/>
                <w:szCs w:val="22"/>
              </w:rPr>
              <w:t>. They will use this knowledge to support pupils displaying attachment and trauma behaviours.</w:t>
            </w:r>
          </w:p>
        </w:tc>
      </w:tr>
      <w:tr w:rsidR="00A64368" w14:paraId="6745364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C8D7A" w14:textId="14038970" w:rsidR="00A64368" w:rsidRDefault="00A64368">
            <w:pPr>
              <w:pStyle w:val="TableRow"/>
              <w:rPr>
                <w:sz w:val="22"/>
                <w:szCs w:val="22"/>
              </w:rPr>
            </w:pPr>
            <w:r>
              <w:rPr>
                <w:sz w:val="22"/>
                <w:szCs w:val="22"/>
              </w:rPr>
              <w:t xml:space="preserve">Pupils can access specific assessments </w:t>
            </w:r>
            <w:r w:rsidR="00007872">
              <w:rPr>
                <w:sz w:val="22"/>
                <w:szCs w:val="22"/>
              </w:rPr>
              <w:t xml:space="preserve">or alternative provision </w:t>
            </w:r>
            <w:r>
              <w:rPr>
                <w:sz w:val="22"/>
                <w:szCs w:val="22"/>
              </w:rPr>
              <w:t>when needed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C6400" w14:textId="3FD92AB5" w:rsidR="00A64368" w:rsidRDefault="00B5568D" w:rsidP="00B5568D">
            <w:pPr>
              <w:pStyle w:val="TableRowCentered"/>
              <w:ind w:left="0"/>
              <w:jc w:val="left"/>
              <w:rPr>
                <w:sz w:val="22"/>
                <w:szCs w:val="22"/>
              </w:rPr>
            </w:pPr>
            <w:r>
              <w:rPr>
                <w:sz w:val="22"/>
                <w:szCs w:val="22"/>
              </w:rPr>
              <w:t xml:space="preserve">Specific assessments/education specialists can be accessed to support learning </w:t>
            </w:r>
            <w:proofErr w:type="spellStart"/>
            <w:proofErr w:type="gramStart"/>
            <w:r>
              <w:rPr>
                <w:sz w:val="22"/>
                <w:szCs w:val="22"/>
              </w:rPr>
              <w:t>eg</w:t>
            </w:r>
            <w:proofErr w:type="spellEnd"/>
            <w:proofErr w:type="gramEnd"/>
            <w:r>
              <w:rPr>
                <w:sz w:val="22"/>
                <w:szCs w:val="22"/>
              </w:rPr>
              <w:t xml:space="preserve"> educational psychologist assessment/dyslexia assessment</w:t>
            </w:r>
            <w:r w:rsidR="00007872">
              <w:rPr>
                <w:sz w:val="22"/>
                <w:szCs w:val="22"/>
              </w:rPr>
              <w:t>/alternative SEMH provision</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028F3AFD" w:rsidR="00E66558" w:rsidRDefault="006A33EF">
      <w:r>
        <w:t>Budgeted cost</w:t>
      </w:r>
      <w:r w:rsidRPr="006E1CE6">
        <w:t xml:space="preserve">: </w:t>
      </w:r>
      <w:r w:rsidR="00E23474">
        <w:t>£25</w:t>
      </w:r>
      <w:r w:rsidR="00215C98" w:rsidRPr="00E23474">
        <w:t>00</w:t>
      </w:r>
    </w:p>
    <w:tbl>
      <w:tblPr>
        <w:tblW w:w="5000" w:type="pct"/>
        <w:tblCellMar>
          <w:left w:w="10" w:type="dxa"/>
          <w:right w:w="10" w:type="dxa"/>
        </w:tblCellMar>
        <w:tblLook w:val="04A0" w:firstRow="1" w:lastRow="0" w:firstColumn="1" w:lastColumn="0" w:noHBand="0" w:noVBand="1"/>
      </w:tblPr>
      <w:tblGrid>
        <w:gridCol w:w="1856"/>
        <w:gridCol w:w="5871"/>
        <w:gridCol w:w="1759"/>
      </w:tblGrid>
      <w:tr w:rsidR="00E66558" w14:paraId="2A7D5519" w14:textId="77777777" w:rsidTr="00FE28ED">
        <w:tc>
          <w:tcPr>
            <w:tcW w:w="18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8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7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21" w14:textId="77777777" w:rsidTr="00FE28ED">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48CB21BB" w:rsidR="00E66558" w:rsidRDefault="00B81219" w:rsidP="00FE28ED">
            <w:pPr>
              <w:pStyle w:val="TableRow"/>
              <w:rPr>
                <w:i/>
                <w:sz w:val="22"/>
              </w:rPr>
            </w:pPr>
            <w:r>
              <w:rPr>
                <w:i/>
                <w:sz w:val="22"/>
              </w:rPr>
              <w:t xml:space="preserve">Provide </w:t>
            </w:r>
            <w:r w:rsidR="001A5651">
              <w:rPr>
                <w:i/>
                <w:sz w:val="22"/>
              </w:rPr>
              <w:t xml:space="preserve">further </w:t>
            </w:r>
            <w:r>
              <w:rPr>
                <w:i/>
                <w:sz w:val="22"/>
              </w:rPr>
              <w:t>training for all st</w:t>
            </w:r>
            <w:r w:rsidR="00FE28ED">
              <w:rPr>
                <w:i/>
                <w:sz w:val="22"/>
              </w:rPr>
              <w:t>aff to improve behaviour management skills</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6F6E5" w14:textId="11E56E73" w:rsidR="00E66558" w:rsidRDefault="00D57B21">
            <w:pPr>
              <w:pStyle w:val="TableRowCentered"/>
              <w:jc w:val="left"/>
              <w:rPr>
                <w:sz w:val="22"/>
              </w:rPr>
            </w:pPr>
            <w:r>
              <w:rPr>
                <w:sz w:val="22"/>
              </w:rPr>
              <w:t xml:space="preserve">Using EEF research to improve </w:t>
            </w:r>
            <w:r w:rsidR="00FE28ED">
              <w:rPr>
                <w:sz w:val="22"/>
              </w:rPr>
              <w:t xml:space="preserve">behaviour within the classroom, </w:t>
            </w:r>
            <w:r>
              <w:rPr>
                <w:sz w:val="22"/>
              </w:rPr>
              <w:t xml:space="preserve">allowing </w:t>
            </w:r>
            <w:r w:rsidR="00FE28ED">
              <w:rPr>
                <w:sz w:val="22"/>
              </w:rPr>
              <w:t xml:space="preserve">pupils to </w:t>
            </w:r>
            <w:r>
              <w:rPr>
                <w:sz w:val="22"/>
              </w:rPr>
              <w:t>learn</w:t>
            </w:r>
            <w:r w:rsidR="00FE28ED">
              <w:rPr>
                <w:sz w:val="22"/>
              </w:rPr>
              <w:t xml:space="preserve"> in a calm environment with clear boundaries and expectations. Allowing</w:t>
            </w:r>
            <w:r>
              <w:rPr>
                <w:sz w:val="22"/>
              </w:rPr>
              <w:t xml:space="preserve"> pupils </w:t>
            </w:r>
            <w:r w:rsidR="00FE28ED">
              <w:rPr>
                <w:sz w:val="22"/>
              </w:rPr>
              <w:t xml:space="preserve">to become </w:t>
            </w:r>
            <w:r>
              <w:rPr>
                <w:sz w:val="22"/>
              </w:rPr>
              <w:t>better learners.</w:t>
            </w:r>
          </w:p>
          <w:p w14:paraId="7760BA99" w14:textId="56E9F53D" w:rsidR="00F23167" w:rsidRDefault="004D04DD">
            <w:pPr>
              <w:pStyle w:val="TableRowCentered"/>
              <w:jc w:val="left"/>
              <w:rPr>
                <w:sz w:val="22"/>
              </w:rPr>
            </w:pPr>
            <w:hyperlink r:id="rId7" w:history="1">
              <w:r w:rsidR="00FE28ED" w:rsidRPr="003A3812">
                <w:rPr>
                  <w:rStyle w:val="Hyperlink"/>
                  <w:sz w:val="22"/>
                </w:rPr>
                <w:t>https://educationendowmentfoundation.org.uk/education-evidence/guidance-reports/behaviour</w:t>
              </w:r>
            </w:hyperlink>
          </w:p>
          <w:p w14:paraId="3BEBA7F0" w14:textId="77777777" w:rsidR="00FE28ED" w:rsidRDefault="00FE28ED">
            <w:pPr>
              <w:pStyle w:val="TableRowCentered"/>
              <w:jc w:val="left"/>
              <w:rPr>
                <w:sz w:val="22"/>
              </w:rPr>
            </w:pPr>
          </w:p>
          <w:p w14:paraId="2A7D551F" w14:textId="422086EB" w:rsidR="00F23167" w:rsidRDefault="00F23167" w:rsidP="00FE28ED">
            <w:pPr>
              <w:pStyle w:val="TableRowCentered"/>
              <w:jc w:val="left"/>
              <w:rPr>
                <w:sz w:val="22"/>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A058D" w14:textId="77777777" w:rsidR="00E66558" w:rsidRDefault="006F68FE">
            <w:pPr>
              <w:pStyle w:val="TableRowCentered"/>
              <w:jc w:val="left"/>
              <w:rPr>
                <w:sz w:val="22"/>
              </w:rPr>
            </w:pPr>
            <w:r>
              <w:rPr>
                <w:sz w:val="22"/>
              </w:rPr>
              <w:t>All staff</w:t>
            </w:r>
          </w:p>
          <w:p w14:paraId="2A7D5520" w14:textId="6165D6F5" w:rsidR="006F68FE" w:rsidRDefault="008E6D31">
            <w:pPr>
              <w:pStyle w:val="TableRowCentered"/>
              <w:jc w:val="left"/>
              <w:rPr>
                <w:sz w:val="22"/>
              </w:rPr>
            </w:pPr>
            <w:r>
              <w:rPr>
                <w:sz w:val="22"/>
              </w:rPr>
              <w:t>26</w:t>
            </w:r>
            <w:r w:rsidR="006F68FE">
              <w:rPr>
                <w:sz w:val="22"/>
              </w:rPr>
              <w:t xml:space="preserve"> pupils</w:t>
            </w:r>
          </w:p>
        </w:tc>
      </w:tr>
    </w:tbl>
    <w:p w14:paraId="2A7D5522" w14:textId="77777777" w:rsidR="00E66558" w:rsidRDefault="00E66558">
      <w:pPr>
        <w:keepNext/>
        <w:spacing w:after="60"/>
        <w:outlineLvl w:val="1"/>
      </w:pPr>
    </w:p>
    <w:p w14:paraId="02E15753" w14:textId="77777777" w:rsidR="00A15884" w:rsidRDefault="00A15884">
      <w:pPr>
        <w:rPr>
          <w:b/>
          <w:bCs/>
          <w:color w:val="104F75"/>
          <w:sz w:val="28"/>
          <w:szCs w:val="28"/>
        </w:rPr>
      </w:pPr>
    </w:p>
    <w:p w14:paraId="5FC3670C" w14:textId="77777777" w:rsidR="00A15884" w:rsidRDefault="00A15884">
      <w:pPr>
        <w:rPr>
          <w:b/>
          <w:bCs/>
          <w:color w:val="104F75"/>
          <w:sz w:val="28"/>
          <w:szCs w:val="28"/>
        </w:rPr>
      </w:pPr>
    </w:p>
    <w:p w14:paraId="38C653B6" w14:textId="77777777" w:rsidR="00A15884" w:rsidRDefault="00A15884">
      <w:pPr>
        <w:rPr>
          <w:b/>
          <w:bCs/>
          <w:color w:val="104F75"/>
          <w:sz w:val="28"/>
          <w:szCs w:val="28"/>
        </w:rPr>
      </w:pPr>
    </w:p>
    <w:p w14:paraId="2A7D5523" w14:textId="20DC26B9"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3F786686" w:rsidR="00E66558" w:rsidRDefault="00014D3A">
      <w:r>
        <w:t xml:space="preserve">Budgeted cost: </w:t>
      </w:r>
      <w:r w:rsidR="002A7FE9">
        <w:t>£28,99</w:t>
      </w:r>
      <w:r w:rsidR="00566901" w:rsidRPr="00566901">
        <w:t>0</w:t>
      </w:r>
      <w:r w:rsidR="00E23474" w:rsidRPr="00566901">
        <w:t xml:space="preserve"> +£3190</w:t>
      </w:r>
    </w:p>
    <w:tbl>
      <w:tblPr>
        <w:tblW w:w="5000" w:type="pct"/>
        <w:tblCellMar>
          <w:left w:w="10" w:type="dxa"/>
          <w:right w:w="10" w:type="dxa"/>
        </w:tblCellMar>
        <w:tblLook w:val="04A0" w:firstRow="1" w:lastRow="0" w:firstColumn="1" w:lastColumn="0" w:noHBand="0" w:noVBand="1"/>
      </w:tblPr>
      <w:tblGrid>
        <w:gridCol w:w="1805"/>
        <w:gridCol w:w="5871"/>
        <w:gridCol w:w="1810"/>
      </w:tblGrid>
      <w:tr w:rsidR="00E66558" w14:paraId="2A7D5528" w14:textId="77777777" w:rsidTr="00F23167">
        <w:tc>
          <w:tcPr>
            <w:tcW w:w="18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58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81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F23167">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66C04CD8" w:rsidR="00E66558" w:rsidRDefault="006A33EF">
            <w:pPr>
              <w:pStyle w:val="TableRow"/>
            </w:pPr>
            <w:r>
              <w:rPr>
                <w:i/>
                <w:iCs/>
                <w:sz w:val="22"/>
                <w:szCs w:val="22"/>
              </w:rPr>
              <w:t>Delivery of intervention groups</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2B481" w14:textId="73255696" w:rsidR="00E66558" w:rsidRDefault="00BD1768">
            <w:pPr>
              <w:pStyle w:val="TableRowCentered"/>
              <w:jc w:val="left"/>
              <w:rPr>
                <w:sz w:val="22"/>
              </w:rPr>
            </w:pPr>
            <w:r>
              <w:rPr>
                <w:sz w:val="22"/>
              </w:rPr>
              <w:t>Intervention catch-up groups for phonics, spelli</w:t>
            </w:r>
            <w:r w:rsidR="00C43618">
              <w:rPr>
                <w:sz w:val="22"/>
              </w:rPr>
              <w:t>ng,</w:t>
            </w:r>
            <w:r w:rsidR="00010FE9">
              <w:rPr>
                <w:sz w:val="22"/>
              </w:rPr>
              <w:t xml:space="preserve"> provided to challenge understanding</w:t>
            </w:r>
            <w:r>
              <w:rPr>
                <w:sz w:val="22"/>
              </w:rPr>
              <w:t xml:space="preserve"> and reinforce key concepts</w:t>
            </w:r>
          </w:p>
          <w:p w14:paraId="2A7D552A" w14:textId="1F09C221" w:rsidR="00C43618" w:rsidRDefault="00C43618">
            <w:pPr>
              <w:pStyle w:val="TableRowCentered"/>
              <w:jc w:val="left"/>
              <w:rPr>
                <w:sz w:val="22"/>
              </w:rPr>
            </w:pPr>
            <w:r>
              <w:rPr>
                <w:sz w:val="22"/>
              </w:rPr>
              <w:t xml:space="preserve">  </w:t>
            </w:r>
            <w:hyperlink r:id="rId8" w:history="1">
              <w:r w:rsidR="00F23167" w:rsidRPr="002812A4">
                <w:rPr>
                  <w:rStyle w:val="Hyperlink"/>
                  <w:sz w:val="22"/>
                </w:rPr>
                <w:t>https://educationendowmentfoundation.org.uk/education-evidence/guidance-reports/literacy-ks-1</w:t>
              </w:r>
            </w:hyperlink>
            <w:r w:rsidR="00F23167">
              <w:rPr>
                <w:sz w:val="22"/>
              </w:rPr>
              <w:t xml:space="preserve">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00A2752C" w:rsidR="0036767F" w:rsidRDefault="00A15884" w:rsidP="0036767F">
            <w:pPr>
              <w:pStyle w:val="TableRowCentered"/>
              <w:ind w:left="0"/>
              <w:jc w:val="left"/>
              <w:rPr>
                <w:sz w:val="22"/>
              </w:rPr>
            </w:pPr>
            <w:r>
              <w:rPr>
                <w:sz w:val="22"/>
              </w:rPr>
              <w:t>13 pupils</w:t>
            </w:r>
          </w:p>
        </w:tc>
      </w:tr>
      <w:tr w:rsidR="00E66558" w14:paraId="2A7D5530" w14:textId="77777777" w:rsidTr="00F23167">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5DDD5FC2" w:rsidR="00E66558" w:rsidRDefault="006A33EF">
            <w:pPr>
              <w:pStyle w:val="TableRow"/>
              <w:rPr>
                <w:i/>
                <w:sz w:val="22"/>
              </w:rPr>
            </w:pPr>
            <w:r>
              <w:rPr>
                <w:i/>
                <w:sz w:val="22"/>
              </w:rPr>
              <w:t>One to one intervention groups</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D0639" w14:textId="77777777" w:rsidR="00E66558" w:rsidRDefault="00BD1768">
            <w:pPr>
              <w:pStyle w:val="TableRowCentered"/>
              <w:jc w:val="left"/>
              <w:rPr>
                <w:sz w:val="22"/>
              </w:rPr>
            </w:pPr>
            <w:r>
              <w:rPr>
                <w:sz w:val="22"/>
              </w:rPr>
              <w:t>One to one support for daily readers especially where pupils do not read at home.</w:t>
            </w:r>
          </w:p>
          <w:p w14:paraId="14465444" w14:textId="77777777" w:rsidR="00C43618" w:rsidRDefault="00C43618">
            <w:pPr>
              <w:pStyle w:val="TableRowCentered"/>
              <w:jc w:val="left"/>
              <w:rPr>
                <w:sz w:val="22"/>
              </w:rPr>
            </w:pPr>
            <w:r>
              <w:rPr>
                <w:sz w:val="22"/>
              </w:rPr>
              <w:t xml:space="preserve">Completion of </w:t>
            </w:r>
            <w:proofErr w:type="gramStart"/>
            <w:r>
              <w:rPr>
                <w:sz w:val="22"/>
              </w:rPr>
              <w:t>12 week</w:t>
            </w:r>
            <w:proofErr w:type="gramEnd"/>
            <w:r>
              <w:rPr>
                <w:sz w:val="22"/>
              </w:rPr>
              <w:t xml:space="preserve"> programme for </w:t>
            </w:r>
            <w:r w:rsidR="001A5651">
              <w:rPr>
                <w:sz w:val="22"/>
              </w:rPr>
              <w:t>Switch on reading</w:t>
            </w:r>
            <w:r>
              <w:rPr>
                <w:sz w:val="22"/>
              </w:rPr>
              <w:t xml:space="preserve"> </w:t>
            </w:r>
          </w:p>
          <w:p w14:paraId="1E306A15" w14:textId="77777777" w:rsidR="00BD1768" w:rsidRDefault="00C43618">
            <w:pPr>
              <w:pStyle w:val="TableRowCentered"/>
              <w:jc w:val="left"/>
              <w:rPr>
                <w:sz w:val="22"/>
              </w:rPr>
            </w:pPr>
            <w:r>
              <w:rPr>
                <w:sz w:val="22"/>
              </w:rPr>
              <w:t xml:space="preserve">Completion of </w:t>
            </w:r>
            <w:proofErr w:type="gramStart"/>
            <w:r>
              <w:rPr>
                <w:sz w:val="22"/>
              </w:rPr>
              <w:t>12 week</w:t>
            </w:r>
            <w:proofErr w:type="gramEnd"/>
            <w:r>
              <w:rPr>
                <w:sz w:val="22"/>
              </w:rPr>
              <w:t xml:space="preserve"> programme </w:t>
            </w:r>
            <w:r w:rsidR="001A5651">
              <w:rPr>
                <w:sz w:val="22"/>
              </w:rPr>
              <w:t>Switch on writing</w:t>
            </w:r>
          </w:p>
          <w:p w14:paraId="5B788CD6" w14:textId="41CA5F8C" w:rsidR="00F23167" w:rsidRDefault="004D04DD">
            <w:pPr>
              <w:pStyle w:val="TableRowCentered"/>
              <w:jc w:val="left"/>
              <w:rPr>
                <w:sz w:val="22"/>
              </w:rPr>
            </w:pPr>
            <w:hyperlink r:id="rId9" w:history="1">
              <w:r w:rsidR="00F23167" w:rsidRPr="002812A4">
                <w:rPr>
                  <w:rStyle w:val="Hyperlink"/>
                  <w:sz w:val="22"/>
                </w:rPr>
                <w:t>https://educationendowmentfoundation.org.uk/education-evidence/evidence-reviews/teaching-assistants</w:t>
              </w:r>
            </w:hyperlink>
          </w:p>
          <w:p w14:paraId="2A7D552E" w14:textId="05F32253" w:rsidR="00F23167" w:rsidRDefault="00F23167">
            <w:pPr>
              <w:pStyle w:val="TableRowCentered"/>
              <w:jc w:val="left"/>
              <w:rPr>
                <w:sz w:val="22"/>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3F21D" w14:textId="2A6F5360" w:rsidR="0036767F" w:rsidRDefault="00297F7D" w:rsidP="0036767F">
            <w:pPr>
              <w:pStyle w:val="TableRowCentered"/>
              <w:jc w:val="left"/>
              <w:rPr>
                <w:sz w:val="22"/>
              </w:rPr>
            </w:pPr>
            <w:r>
              <w:rPr>
                <w:sz w:val="22"/>
              </w:rPr>
              <w:lastRenderedPageBreak/>
              <w:t>11</w:t>
            </w:r>
            <w:r w:rsidR="0036767F">
              <w:rPr>
                <w:sz w:val="22"/>
              </w:rPr>
              <w:t xml:space="preserve"> pupils</w:t>
            </w:r>
          </w:p>
          <w:p w14:paraId="2A7D552F" w14:textId="5C34A6E8" w:rsidR="0036767F" w:rsidRDefault="0036767F" w:rsidP="0036767F">
            <w:pPr>
              <w:pStyle w:val="TableRowCentered"/>
              <w:jc w:val="left"/>
              <w:rPr>
                <w:sz w:val="22"/>
              </w:rPr>
            </w:pPr>
          </w:p>
        </w:tc>
      </w:tr>
      <w:tr w:rsidR="006A33EF" w14:paraId="7502C43C" w14:textId="77777777" w:rsidTr="00F23167">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4B646" w14:textId="4B2A0AE1" w:rsidR="006A33EF" w:rsidRDefault="006A33EF">
            <w:pPr>
              <w:pStyle w:val="TableRow"/>
              <w:rPr>
                <w:i/>
                <w:sz w:val="22"/>
              </w:rPr>
            </w:pPr>
            <w:r>
              <w:rPr>
                <w:i/>
                <w:sz w:val="22"/>
              </w:rPr>
              <w:t>Class support for basic skills</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40F5" w14:textId="77777777" w:rsidR="006A33EF" w:rsidRDefault="00BD1768">
            <w:pPr>
              <w:pStyle w:val="TableRowCentered"/>
              <w:jc w:val="left"/>
              <w:rPr>
                <w:sz w:val="22"/>
              </w:rPr>
            </w:pPr>
            <w:r>
              <w:rPr>
                <w:sz w:val="22"/>
              </w:rPr>
              <w:t>Support provided in class for literacy and numeracy allowing pupils to remain in the class with their peers.</w:t>
            </w:r>
          </w:p>
          <w:p w14:paraId="7F06ACA9" w14:textId="0C3D050F" w:rsidR="00F23167" w:rsidRDefault="004D04DD">
            <w:pPr>
              <w:pStyle w:val="TableRowCentered"/>
              <w:jc w:val="left"/>
              <w:rPr>
                <w:sz w:val="22"/>
              </w:rPr>
            </w:pPr>
            <w:hyperlink r:id="rId10" w:history="1">
              <w:r w:rsidR="00F23167" w:rsidRPr="002812A4">
                <w:rPr>
                  <w:rStyle w:val="Hyperlink"/>
                  <w:sz w:val="22"/>
                </w:rPr>
                <w:t>https://educationendowmentfoundation.org.uk/education-evidence/evidence-reviews/teaching-assistants</w:t>
              </w:r>
            </w:hyperlink>
          </w:p>
          <w:p w14:paraId="37E17891" w14:textId="42DEF917" w:rsidR="00F23167" w:rsidRDefault="00F23167">
            <w:pPr>
              <w:pStyle w:val="TableRowCentered"/>
              <w:jc w:val="left"/>
              <w:rPr>
                <w:sz w:val="22"/>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B240C" w14:textId="542AA6C0" w:rsidR="006A33EF" w:rsidRDefault="0036767F">
            <w:pPr>
              <w:pStyle w:val="TableRowCentered"/>
              <w:jc w:val="left"/>
              <w:rPr>
                <w:sz w:val="22"/>
              </w:rPr>
            </w:pPr>
            <w:r>
              <w:rPr>
                <w:sz w:val="22"/>
              </w:rPr>
              <w:t xml:space="preserve"> </w:t>
            </w:r>
            <w:r w:rsidR="008E6D31">
              <w:rPr>
                <w:sz w:val="22"/>
              </w:rPr>
              <w:t>26</w:t>
            </w:r>
            <w:r w:rsidR="00C175A2">
              <w:rPr>
                <w:sz w:val="22"/>
              </w:rPr>
              <w:t xml:space="preserve"> </w:t>
            </w:r>
            <w:r>
              <w:rPr>
                <w:sz w:val="22"/>
              </w:rPr>
              <w:t>pupils</w:t>
            </w:r>
          </w:p>
        </w:tc>
      </w:tr>
    </w:tbl>
    <w:p w14:paraId="2A7D5531" w14:textId="77777777" w:rsidR="00E66558" w:rsidRDefault="00E66558">
      <w:pPr>
        <w:spacing w:after="0"/>
        <w:rPr>
          <w:b/>
          <w:color w:val="104F75"/>
          <w:sz w:val="28"/>
          <w:szCs w:val="28"/>
        </w:rPr>
      </w:pPr>
    </w:p>
    <w:p w14:paraId="019234F3" w14:textId="77777777" w:rsidR="001A5651" w:rsidRDefault="001A5651">
      <w:pPr>
        <w:rPr>
          <w:b/>
          <w:color w:val="104F75"/>
          <w:sz w:val="28"/>
          <w:szCs w:val="28"/>
        </w:rPr>
      </w:pPr>
    </w:p>
    <w:p w14:paraId="2A7D5532" w14:textId="78DE41E0" w:rsidR="00E66558" w:rsidRDefault="009D71E8">
      <w:pPr>
        <w:rPr>
          <w:b/>
          <w:color w:val="104F75"/>
          <w:sz w:val="28"/>
          <w:szCs w:val="28"/>
        </w:rPr>
      </w:pPr>
      <w:r>
        <w:rPr>
          <w:b/>
          <w:color w:val="104F75"/>
          <w:sz w:val="28"/>
          <w:szCs w:val="28"/>
        </w:rPr>
        <w:t>Wider strategies (for example, related to attendance, behaviour, wellbeing)</w:t>
      </w:r>
    </w:p>
    <w:p w14:paraId="2A7D5533" w14:textId="4E961B4D" w:rsidR="00E66558" w:rsidRDefault="00215C98">
      <w:pPr>
        <w:spacing w:before="240" w:after="120"/>
      </w:pPr>
      <w:r>
        <w:t xml:space="preserve">Budgeted cost: </w:t>
      </w:r>
      <w:r w:rsidR="00566901" w:rsidRPr="00566901">
        <w:t>£7</w:t>
      </w:r>
      <w:r w:rsidRPr="00566901">
        <w:t>000</w:t>
      </w:r>
    </w:p>
    <w:tbl>
      <w:tblPr>
        <w:tblW w:w="5000" w:type="pct"/>
        <w:tblCellMar>
          <w:left w:w="10" w:type="dxa"/>
          <w:right w:w="10" w:type="dxa"/>
        </w:tblCellMar>
        <w:tblLook w:val="04A0" w:firstRow="1" w:lastRow="0" w:firstColumn="1" w:lastColumn="0" w:noHBand="0" w:noVBand="1"/>
      </w:tblPr>
      <w:tblGrid>
        <w:gridCol w:w="1856"/>
        <w:gridCol w:w="5871"/>
        <w:gridCol w:w="1759"/>
      </w:tblGrid>
      <w:tr w:rsidR="00E66558" w14:paraId="2A7D5537" w14:textId="77777777" w:rsidTr="00FE28ED">
        <w:tc>
          <w:tcPr>
            <w:tcW w:w="18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58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7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F" w14:textId="77777777" w:rsidTr="00FE28ED">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77BE3C11" w:rsidR="00E66558" w:rsidRDefault="002C69F6">
            <w:pPr>
              <w:pStyle w:val="TableRow"/>
              <w:rPr>
                <w:i/>
                <w:sz w:val="22"/>
              </w:rPr>
            </w:pPr>
            <w:r>
              <w:rPr>
                <w:i/>
                <w:sz w:val="22"/>
              </w:rPr>
              <w:t xml:space="preserve">Provide </w:t>
            </w:r>
            <w:r w:rsidR="00F7411A">
              <w:rPr>
                <w:i/>
                <w:sz w:val="22"/>
              </w:rPr>
              <w:t>additional hours of HOPE support</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D50DA" w14:textId="77777777" w:rsidR="00E66558" w:rsidRDefault="00F7411A">
            <w:pPr>
              <w:pStyle w:val="TableRowCentered"/>
              <w:jc w:val="left"/>
              <w:rPr>
                <w:sz w:val="22"/>
              </w:rPr>
            </w:pPr>
            <w:r>
              <w:rPr>
                <w:sz w:val="22"/>
              </w:rPr>
              <w:t xml:space="preserve">Provide HOPE support to develop self-esteem, social and emotional skills. </w:t>
            </w:r>
          </w:p>
          <w:p w14:paraId="1A6E3D42" w14:textId="1DFA588C" w:rsidR="006221D5" w:rsidRDefault="004D04DD">
            <w:pPr>
              <w:pStyle w:val="TableRowCentered"/>
              <w:jc w:val="left"/>
              <w:rPr>
                <w:sz w:val="22"/>
              </w:rPr>
            </w:pPr>
            <w:hyperlink r:id="rId11" w:history="1">
              <w:r w:rsidR="006221D5" w:rsidRPr="002812A4">
                <w:rPr>
                  <w:rStyle w:val="Hyperlink"/>
                  <w:sz w:val="22"/>
                </w:rPr>
                <w:t>https://educationendowmentfoundation.org.uk/education-evidence/evidence-reviews/social-and-emotional-learning</w:t>
              </w:r>
            </w:hyperlink>
          </w:p>
          <w:p w14:paraId="2A7D553D" w14:textId="5C433C54" w:rsidR="006221D5" w:rsidRDefault="006221D5">
            <w:pPr>
              <w:pStyle w:val="TableRowCentered"/>
              <w:jc w:val="left"/>
              <w:rPr>
                <w:sz w:val="22"/>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4A719A8B" w:rsidR="00E66558" w:rsidRDefault="00297F7D">
            <w:pPr>
              <w:pStyle w:val="TableRowCentered"/>
              <w:jc w:val="left"/>
              <w:rPr>
                <w:sz w:val="22"/>
              </w:rPr>
            </w:pPr>
            <w:r>
              <w:rPr>
                <w:sz w:val="22"/>
              </w:rPr>
              <w:t>2</w:t>
            </w:r>
            <w:r w:rsidR="00476E87" w:rsidRPr="00297F7D">
              <w:rPr>
                <w:sz w:val="22"/>
              </w:rPr>
              <w:t xml:space="preserve"> pupils</w:t>
            </w:r>
          </w:p>
        </w:tc>
      </w:tr>
      <w:tr w:rsidR="00007872" w14:paraId="09FF8A64" w14:textId="77777777" w:rsidTr="00FE28ED">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A388A" w14:textId="44BF78C3" w:rsidR="00007872" w:rsidRDefault="00007872" w:rsidP="003B1313">
            <w:pPr>
              <w:pStyle w:val="TableRow"/>
              <w:rPr>
                <w:i/>
                <w:sz w:val="22"/>
              </w:rPr>
            </w:pPr>
            <w:r>
              <w:rPr>
                <w:i/>
                <w:sz w:val="22"/>
              </w:rPr>
              <w:t>Access assessments or other professional services</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7D243" w14:textId="1CBCBF31" w:rsidR="00007872" w:rsidRDefault="00007872">
            <w:pPr>
              <w:pStyle w:val="TableRowCentered"/>
              <w:jc w:val="left"/>
              <w:rPr>
                <w:sz w:val="22"/>
              </w:rPr>
            </w:pPr>
            <w:r>
              <w:rPr>
                <w:sz w:val="22"/>
              </w:rPr>
              <w:t>Provide advice or assessments from outside professionals or to attend alternative provision where specialist support can be accessed.</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A1CCB" w14:textId="0B700EB9" w:rsidR="00007872" w:rsidRDefault="00C175A2">
            <w:pPr>
              <w:pStyle w:val="TableRowCentered"/>
              <w:jc w:val="left"/>
              <w:rPr>
                <w:sz w:val="22"/>
              </w:rPr>
            </w:pPr>
            <w:r>
              <w:rPr>
                <w:sz w:val="22"/>
              </w:rPr>
              <w:t>2</w:t>
            </w:r>
            <w:r w:rsidR="00476E87">
              <w:rPr>
                <w:sz w:val="22"/>
              </w:rPr>
              <w:t xml:space="preserve"> pupil</w:t>
            </w:r>
            <w:r w:rsidR="00627A2A">
              <w:rPr>
                <w:sz w:val="22"/>
              </w:rPr>
              <w:t>s</w:t>
            </w:r>
          </w:p>
        </w:tc>
      </w:tr>
      <w:tr w:rsidR="00627A2A" w14:paraId="02CA6F5A" w14:textId="77777777" w:rsidTr="00FE28ED">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A04D" w14:textId="04D7C183" w:rsidR="00627A2A" w:rsidRDefault="00627A2A" w:rsidP="003B1313">
            <w:pPr>
              <w:pStyle w:val="TableRow"/>
              <w:rPr>
                <w:i/>
                <w:sz w:val="22"/>
              </w:rPr>
            </w:pPr>
            <w:r>
              <w:rPr>
                <w:i/>
                <w:sz w:val="22"/>
              </w:rPr>
              <w:t>Provide access to after school clubs, educational visits and music lessons</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F998A" w14:textId="01673122" w:rsidR="00627A2A" w:rsidRDefault="00627A2A">
            <w:pPr>
              <w:pStyle w:val="TableRowCentered"/>
              <w:jc w:val="left"/>
              <w:rPr>
                <w:sz w:val="22"/>
              </w:rPr>
            </w:pPr>
            <w:r>
              <w:rPr>
                <w:sz w:val="22"/>
                <w:szCs w:val="22"/>
              </w:rPr>
              <w:t>Provide extended school opportunities so that pupils are happy and participate fully in school life with high self-esteem</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22ECF" w14:textId="5773F5E6" w:rsidR="00627A2A" w:rsidRDefault="008E6D31">
            <w:pPr>
              <w:pStyle w:val="TableRowCentered"/>
              <w:jc w:val="left"/>
              <w:rPr>
                <w:sz w:val="22"/>
              </w:rPr>
            </w:pPr>
            <w:r>
              <w:rPr>
                <w:sz w:val="22"/>
              </w:rPr>
              <w:t>26</w:t>
            </w:r>
            <w:r w:rsidR="00627A2A">
              <w:rPr>
                <w:sz w:val="22"/>
              </w:rPr>
              <w:t xml:space="preserve"> pupils</w:t>
            </w:r>
          </w:p>
        </w:tc>
      </w:tr>
    </w:tbl>
    <w:p w14:paraId="2A7D5540" w14:textId="77777777" w:rsidR="00E66558" w:rsidRDefault="00E66558">
      <w:pPr>
        <w:spacing w:before="240" w:after="0"/>
        <w:rPr>
          <w:b/>
          <w:bCs/>
          <w:color w:val="104F75"/>
          <w:sz w:val="28"/>
          <w:szCs w:val="28"/>
        </w:rPr>
      </w:pPr>
    </w:p>
    <w:p w14:paraId="2A7D5541" w14:textId="334E928B" w:rsidR="00E66558" w:rsidRDefault="009176F5" w:rsidP="00120AB1">
      <w:r>
        <w:rPr>
          <w:b/>
          <w:bCs/>
          <w:color w:val="104F75"/>
          <w:sz w:val="28"/>
          <w:szCs w:val="28"/>
        </w:rPr>
        <w:t xml:space="preserve">Total budgeted cost: </w:t>
      </w:r>
      <w:r w:rsidR="002A7FE9">
        <w:rPr>
          <w:b/>
          <w:bCs/>
          <w:color w:val="104F75"/>
          <w:sz w:val="28"/>
          <w:szCs w:val="28"/>
        </w:rPr>
        <w:t>£41,680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3AD5BE44" w:rsidR="00E66558" w:rsidRDefault="009D71E8">
      <w:r>
        <w:t>This details the impact that our pupil premium ac</w:t>
      </w:r>
      <w:r w:rsidR="00297F7D">
        <w:t>tivity had on pupils in the 2022</w:t>
      </w:r>
      <w:r w:rsidR="00620F67">
        <w:t xml:space="preserve"> to</w:t>
      </w:r>
      <w:r w:rsidR="00297F7D">
        <w:t xml:space="preserve"> 2023</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AA056" w14:textId="560AB37B" w:rsidR="00561728" w:rsidRDefault="00461BFD">
            <w:pPr>
              <w:spacing w:before="120"/>
              <w:rPr>
                <w:i/>
              </w:rPr>
            </w:pPr>
            <w:r>
              <w:rPr>
                <w:i/>
              </w:rPr>
              <w:t>In 2022 -2023 in KS1 AND KS2 28</w:t>
            </w:r>
            <w:r w:rsidR="004408C1" w:rsidRPr="00A15884">
              <w:rPr>
                <w:i/>
              </w:rPr>
              <w:t xml:space="preserve"> pupils </w:t>
            </w:r>
            <w:r w:rsidR="0025033C" w:rsidRPr="00A15884">
              <w:rPr>
                <w:i/>
              </w:rPr>
              <w:t xml:space="preserve">were </w:t>
            </w:r>
            <w:r w:rsidR="004408C1" w:rsidRPr="00A15884">
              <w:rPr>
                <w:i/>
              </w:rPr>
              <w:t>eligible for PP funding</w:t>
            </w:r>
            <w:r w:rsidR="0025033C" w:rsidRPr="00A15884">
              <w:rPr>
                <w:i/>
              </w:rPr>
              <w:t>.</w:t>
            </w:r>
            <w:r>
              <w:rPr>
                <w:i/>
              </w:rPr>
              <w:t xml:space="preserve"> Of these 28 pupils, 5</w:t>
            </w:r>
            <w:r w:rsidR="0094664A">
              <w:rPr>
                <w:i/>
              </w:rPr>
              <w:t xml:space="preserve"> pupils left Springfields mid-year and 4 pupils either join</w:t>
            </w:r>
            <w:r w:rsidR="00561728">
              <w:rPr>
                <w:i/>
              </w:rPr>
              <w:t xml:space="preserve">ed </w:t>
            </w:r>
            <w:r w:rsidR="0094664A">
              <w:rPr>
                <w:i/>
              </w:rPr>
              <w:t>Springfields mid-year and were already eligible for funding</w:t>
            </w:r>
            <w:r w:rsidR="00561728">
              <w:rPr>
                <w:i/>
              </w:rPr>
              <w:t xml:space="preserve"> or due to a change in circumstances became eligible during the academic year.</w:t>
            </w:r>
            <w:r w:rsidR="0025033C" w:rsidRPr="00A15884">
              <w:rPr>
                <w:i/>
              </w:rPr>
              <w:t xml:space="preserve"> </w:t>
            </w:r>
          </w:p>
          <w:p w14:paraId="094433C7" w14:textId="5097BEF9" w:rsidR="004408C1" w:rsidRPr="00A15884" w:rsidRDefault="0025033C">
            <w:pPr>
              <w:spacing w:before="120"/>
              <w:rPr>
                <w:i/>
              </w:rPr>
            </w:pPr>
            <w:r w:rsidRPr="00A15884">
              <w:rPr>
                <w:i/>
              </w:rPr>
              <w:t xml:space="preserve">Their attainment was </w:t>
            </w:r>
            <w:r w:rsidR="004408C1" w:rsidRPr="00A15884">
              <w:rPr>
                <w:i/>
              </w:rPr>
              <w:t>assess</w:t>
            </w:r>
            <w:r w:rsidRPr="00A15884">
              <w:rPr>
                <w:i/>
              </w:rPr>
              <w:t>ed</w:t>
            </w:r>
            <w:r w:rsidR="004408C1" w:rsidRPr="00A15884">
              <w:rPr>
                <w:i/>
              </w:rPr>
              <w:t xml:space="preserve"> using internal</w:t>
            </w:r>
            <w:r w:rsidR="00461BFD">
              <w:rPr>
                <w:i/>
              </w:rPr>
              <w:t xml:space="preserve"> school data. Of the 28</w:t>
            </w:r>
            <w:r w:rsidR="00963C14" w:rsidRPr="00A15884">
              <w:rPr>
                <w:i/>
              </w:rPr>
              <w:t xml:space="preserve"> pupils</w:t>
            </w:r>
            <w:r w:rsidR="00007872" w:rsidRPr="00A15884">
              <w:rPr>
                <w:i/>
              </w:rPr>
              <w:t>,</w:t>
            </w:r>
            <w:r w:rsidR="00461BFD">
              <w:rPr>
                <w:i/>
              </w:rPr>
              <w:t xml:space="preserve"> 36</w:t>
            </w:r>
            <w:r w:rsidR="004408C1" w:rsidRPr="00A15884">
              <w:rPr>
                <w:i/>
              </w:rPr>
              <w:t>% were also identif</w:t>
            </w:r>
            <w:r w:rsidR="00461BFD">
              <w:rPr>
                <w:i/>
              </w:rPr>
              <w:t xml:space="preserve">ied as having a special need, 11 </w:t>
            </w:r>
            <w:r w:rsidR="004408C1" w:rsidRPr="00A15884">
              <w:rPr>
                <w:i/>
              </w:rPr>
              <w:t>% were looked after children or previou</w:t>
            </w:r>
            <w:r w:rsidRPr="00A15884">
              <w:rPr>
                <w:i/>
              </w:rPr>
              <w:t xml:space="preserve">sly looked after </w:t>
            </w:r>
            <w:r w:rsidR="006221D5" w:rsidRPr="00A15884">
              <w:rPr>
                <w:i/>
              </w:rPr>
              <w:t xml:space="preserve">children and </w:t>
            </w:r>
            <w:r w:rsidR="00461BFD">
              <w:rPr>
                <w:i/>
              </w:rPr>
              <w:t>11% of the pupils had</w:t>
            </w:r>
            <w:r w:rsidR="00963C14" w:rsidRPr="00A15884">
              <w:rPr>
                <w:i/>
              </w:rPr>
              <w:t xml:space="preserve"> attended other schools.</w:t>
            </w:r>
          </w:p>
          <w:p w14:paraId="47703C81" w14:textId="4F48EA33" w:rsidR="0072669B" w:rsidRDefault="0092288A">
            <w:pPr>
              <w:spacing w:before="120"/>
              <w:rPr>
                <w:i/>
              </w:rPr>
            </w:pPr>
            <w:r>
              <w:rPr>
                <w:i/>
              </w:rPr>
              <w:t>Funding was used for</w:t>
            </w:r>
            <w:r w:rsidR="0001366C">
              <w:rPr>
                <w:i/>
              </w:rPr>
              <w:t xml:space="preserve"> one member of staff to deliver the </w:t>
            </w:r>
            <w:r>
              <w:rPr>
                <w:i/>
              </w:rPr>
              <w:t xml:space="preserve">Switch on Reading and Switch on writing </w:t>
            </w:r>
            <w:r w:rsidR="0001366C">
              <w:rPr>
                <w:i/>
              </w:rPr>
              <w:t>programme</w:t>
            </w:r>
            <w:r>
              <w:rPr>
                <w:i/>
              </w:rPr>
              <w:t>s</w:t>
            </w:r>
            <w:r w:rsidR="00E62483">
              <w:rPr>
                <w:i/>
              </w:rPr>
              <w:t xml:space="preserve"> </w:t>
            </w:r>
            <w:r w:rsidR="0001366C">
              <w:rPr>
                <w:i/>
              </w:rPr>
              <w:t xml:space="preserve">to </w:t>
            </w:r>
            <w:r w:rsidR="0025033C">
              <w:rPr>
                <w:i/>
              </w:rPr>
              <w:t>individual pupils,</w:t>
            </w:r>
            <w:r w:rsidR="00E62483">
              <w:rPr>
                <w:i/>
              </w:rPr>
              <w:t xml:space="preserve"> </w:t>
            </w:r>
            <w:r>
              <w:rPr>
                <w:i/>
              </w:rPr>
              <w:t xml:space="preserve">daily </w:t>
            </w:r>
            <w:r w:rsidR="00E62483">
              <w:rPr>
                <w:i/>
              </w:rPr>
              <w:t>for 12</w:t>
            </w:r>
            <w:r>
              <w:rPr>
                <w:i/>
              </w:rPr>
              <w:t xml:space="preserve"> weeks. During the academic year,</w:t>
            </w:r>
            <w:r w:rsidR="0001366C">
              <w:rPr>
                <w:i/>
              </w:rPr>
              <w:t xml:space="preserve"> </w:t>
            </w:r>
            <w:r w:rsidR="00461BFD">
              <w:rPr>
                <w:i/>
              </w:rPr>
              <w:t>three</w:t>
            </w:r>
            <w:r w:rsidR="00C61FF0">
              <w:rPr>
                <w:i/>
              </w:rPr>
              <w:t xml:space="preserve"> pupils</w:t>
            </w:r>
            <w:r w:rsidR="00E62483">
              <w:rPr>
                <w:i/>
              </w:rPr>
              <w:t xml:space="preserve"> </w:t>
            </w:r>
            <w:r w:rsidR="0072669B">
              <w:rPr>
                <w:i/>
              </w:rPr>
              <w:t xml:space="preserve">with pupil premium funding </w:t>
            </w:r>
            <w:r w:rsidR="00E62483">
              <w:rPr>
                <w:i/>
              </w:rPr>
              <w:t xml:space="preserve">have </w:t>
            </w:r>
            <w:r>
              <w:rPr>
                <w:i/>
              </w:rPr>
              <w:t xml:space="preserve">successfully </w:t>
            </w:r>
            <w:r w:rsidR="00E62483">
              <w:rPr>
                <w:i/>
              </w:rPr>
              <w:t>completed the programme.</w:t>
            </w:r>
            <w:r w:rsidR="0072669B">
              <w:rPr>
                <w:i/>
              </w:rPr>
              <w:t xml:space="preserve"> By the end of the academic year these pupils had </w:t>
            </w:r>
            <w:r w:rsidR="00A15884" w:rsidRPr="00A15884">
              <w:rPr>
                <w:i/>
              </w:rPr>
              <w:t xml:space="preserve">made increased </w:t>
            </w:r>
            <w:r w:rsidR="0072669B" w:rsidRPr="00A15884">
              <w:rPr>
                <w:i/>
              </w:rPr>
              <w:t>progress</w:t>
            </w:r>
            <w:r w:rsidR="00A15884" w:rsidRPr="00A15884">
              <w:rPr>
                <w:i/>
              </w:rPr>
              <w:t xml:space="preserve"> on internal tracking</w:t>
            </w:r>
            <w:r w:rsidR="0072669B" w:rsidRPr="00A15884">
              <w:rPr>
                <w:i/>
              </w:rPr>
              <w:t>.</w:t>
            </w:r>
          </w:p>
          <w:p w14:paraId="3B4D8EFA" w14:textId="099039A2" w:rsidR="00461BFD" w:rsidRDefault="00461BFD">
            <w:pPr>
              <w:spacing w:before="120"/>
              <w:rPr>
                <w:i/>
              </w:rPr>
            </w:pPr>
            <w:r>
              <w:rPr>
                <w:i/>
              </w:rPr>
              <w:t xml:space="preserve">Internal tracking reflected the </w:t>
            </w:r>
            <w:r w:rsidR="008322D4">
              <w:rPr>
                <w:i/>
              </w:rPr>
              <w:t xml:space="preserve">support given via Switch on Reading, daily readers and daily </w:t>
            </w:r>
            <w:proofErr w:type="gramStart"/>
            <w:r w:rsidR="008322D4">
              <w:rPr>
                <w:i/>
              </w:rPr>
              <w:t>catch up</w:t>
            </w:r>
            <w:proofErr w:type="gramEnd"/>
            <w:r w:rsidR="008322D4">
              <w:rPr>
                <w:i/>
              </w:rPr>
              <w:t xml:space="preserve"> phonics to develop attainment in reading. </w:t>
            </w:r>
          </w:p>
          <w:p w14:paraId="7CFFB325" w14:textId="3B548A36" w:rsidR="008322D4" w:rsidRPr="008322D4" w:rsidRDefault="008322D4" w:rsidP="008322D4">
            <w:pPr>
              <w:spacing w:before="120"/>
              <w:jc w:val="center"/>
              <w:rPr>
                <w:b/>
                <w:i/>
              </w:rPr>
            </w:pPr>
            <w:r w:rsidRPr="008322D4">
              <w:rPr>
                <w:b/>
                <w:i/>
              </w:rPr>
              <w:t>End of 2022- 2023 academic year data for pupils eligible for pupil premium funding</w:t>
            </w:r>
          </w:p>
          <w:tbl>
            <w:tblPr>
              <w:tblStyle w:val="TableGrid"/>
              <w:tblW w:w="0" w:type="auto"/>
              <w:tblLook w:val="04A0" w:firstRow="1" w:lastRow="0" w:firstColumn="1" w:lastColumn="0" w:noHBand="0" w:noVBand="1"/>
            </w:tblPr>
            <w:tblGrid>
              <w:gridCol w:w="936"/>
              <w:gridCol w:w="924"/>
              <w:gridCol w:w="903"/>
              <w:gridCol w:w="950"/>
              <w:gridCol w:w="924"/>
              <w:gridCol w:w="903"/>
              <w:gridCol w:w="950"/>
              <w:gridCol w:w="924"/>
              <w:gridCol w:w="903"/>
              <w:gridCol w:w="950"/>
            </w:tblGrid>
            <w:tr w:rsidR="00800DD2" w14:paraId="262BC110" w14:textId="77777777" w:rsidTr="00800DD2">
              <w:tc>
                <w:tcPr>
                  <w:tcW w:w="926" w:type="dxa"/>
                </w:tcPr>
                <w:p w14:paraId="5B7A013A" w14:textId="3563007A" w:rsidR="00800DD2" w:rsidRPr="00461BFD" w:rsidRDefault="00800DD2">
                  <w:pPr>
                    <w:spacing w:before="120"/>
                    <w:rPr>
                      <w:b/>
                      <w:i/>
                    </w:rPr>
                  </w:pPr>
                  <w:proofErr w:type="spellStart"/>
                  <w:r w:rsidRPr="00461BFD">
                    <w:rPr>
                      <w:b/>
                      <w:i/>
                    </w:rPr>
                    <w:t>Yr</w:t>
                  </w:r>
                  <w:proofErr w:type="spellEnd"/>
                  <w:r w:rsidRPr="00461BFD">
                    <w:rPr>
                      <w:b/>
                      <w:i/>
                    </w:rPr>
                    <w:t xml:space="preserve"> Group</w:t>
                  </w:r>
                </w:p>
              </w:tc>
              <w:tc>
                <w:tcPr>
                  <w:tcW w:w="2779" w:type="dxa"/>
                  <w:gridSpan w:val="3"/>
                </w:tcPr>
                <w:p w14:paraId="1B7FDFD7" w14:textId="37AD064B" w:rsidR="00800DD2" w:rsidRPr="00461BFD" w:rsidRDefault="00800DD2" w:rsidP="00461BFD">
                  <w:pPr>
                    <w:spacing w:before="120"/>
                    <w:jc w:val="center"/>
                    <w:rPr>
                      <w:b/>
                      <w:i/>
                    </w:rPr>
                  </w:pPr>
                  <w:r w:rsidRPr="00461BFD">
                    <w:rPr>
                      <w:b/>
                      <w:i/>
                    </w:rPr>
                    <w:t>Reading</w:t>
                  </w:r>
                </w:p>
              </w:tc>
              <w:tc>
                <w:tcPr>
                  <w:tcW w:w="2781" w:type="dxa"/>
                  <w:gridSpan w:val="3"/>
                </w:tcPr>
                <w:p w14:paraId="143E92DB" w14:textId="354A0396" w:rsidR="00800DD2" w:rsidRPr="00461BFD" w:rsidRDefault="00800DD2" w:rsidP="00461BFD">
                  <w:pPr>
                    <w:spacing w:before="120"/>
                    <w:jc w:val="center"/>
                    <w:rPr>
                      <w:b/>
                      <w:i/>
                    </w:rPr>
                  </w:pPr>
                  <w:r w:rsidRPr="00461BFD">
                    <w:rPr>
                      <w:b/>
                      <w:i/>
                    </w:rPr>
                    <w:t>Writing</w:t>
                  </w:r>
                </w:p>
              </w:tc>
              <w:tc>
                <w:tcPr>
                  <w:tcW w:w="2781" w:type="dxa"/>
                  <w:gridSpan w:val="3"/>
                </w:tcPr>
                <w:p w14:paraId="280014D4" w14:textId="69A9C32A" w:rsidR="00800DD2" w:rsidRPr="00461BFD" w:rsidRDefault="00800DD2" w:rsidP="00461BFD">
                  <w:pPr>
                    <w:spacing w:before="120"/>
                    <w:jc w:val="center"/>
                    <w:rPr>
                      <w:b/>
                      <w:i/>
                    </w:rPr>
                  </w:pPr>
                  <w:r w:rsidRPr="00461BFD">
                    <w:rPr>
                      <w:b/>
                      <w:i/>
                    </w:rPr>
                    <w:t>Maths</w:t>
                  </w:r>
                </w:p>
              </w:tc>
            </w:tr>
            <w:tr w:rsidR="007A505E" w14:paraId="47F695AD" w14:textId="77777777" w:rsidTr="00800DD2">
              <w:tc>
                <w:tcPr>
                  <w:tcW w:w="926" w:type="dxa"/>
                </w:tcPr>
                <w:p w14:paraId="03353CB4" w14:textId="77777777" w:rsidR="00800DD2" w:rsidRDefault="00800DD2">
                  <w:pPr>
                    <w:spacing w:before="120"/>
                  </w:pPr>
                </w:p>
              </w:tc>
              <w:tc>
                <w:tcPr>
                  <w:tcW w:w="926" w:type="dxa"/>
                </w:tcPr>
                <w:p w14:paraId="2C666AB5" w14:textId="07051ED0" w:rsidR="00800DD2" w:rsidRPr="00461BFD" w:rsidRDefault="00800DD2">
                  <w:pPr>
                    <w:spacing w:before="120"/>
                    <w:rPr>
                      <w:b/>
                      <w:i/>
                    </w:rPr>
                  </w:pPr>
                  <w:r w:rsidRPr="00461BFD">
                    <w:rPr>
                      <w:b/>
                      <w:i/>
                    </w:rPr>
                    <w:t>Below</w:t>
                  </w:r>
                </w:p>
              </w:tc>
              <w:tc>
                <w:tcPr>
                  <w:tcW w:w="926" w:type="dxa"/>
                </w:tcPr>
                <w:p w14:paraId="701866C3" w14:textId="4FEC9024" w:rsidR="00800DD2" w:rsidRPr="00461BFD" w:rsidRDefault="00800DD2">
                  <w:pPr>
                    <w:spacing w:before="120"/>
                    <w:rPr>
                      <w:b/>
                      <w:i/>
                    </w:rPr>
                  </w:pPr>
                  <w:r w:rsidRPr="00461BFD">
                    <w:rPr>
                      <w:b/>
                      <w:i/>
                    </w:rPr>
                    <w:t>At</w:t>
                  </w:r>
                </w:p>
              </w:tc>
              <w:tc>
                <w:tcPr>
                  <w:tcW w:w="927" w:type="dxa"/>
                </w:tcPr>
                <w:p w14:paraId="732B42D8" w14:textId="0A71DFB1" w:rsidR="00800DD2" w:rsidRPr="00461BFD" w:rsidRDefault="00800DD2">
                  <w:pPr>
                    <w:spacing w:before="120"/>
                    <w:rPr>
                      <w:b/>
                      <w:i/>
                    </w:rPr>
                  </w:pPr>
                  <w:r w:rsidRPr="00461BFD">
                    <w:rPr>
                      <w:b/>
                      <w:i/>
                    </w:rPr>
                    <w:t>Above</w:t>
                  </w:r>
                </w:p>
              </w:tc>
              <w:tc>
                <w:tcPr>
                  <w:tcW w:w="927" w:type="dxa"/>
                </w:tcPr>
                <w:p w14:paraId="5DB049FC" w14:textId="66B7F9CD" w:rsidR="00800DD2" w:rsidRPr="00461BFD" w:rsidRDefault="00800DD2">
                  <w:pPr>
                    <w:spacing w:before="120"/>
                    <w:rPr>
                      <w:b/>
                      <w:i/>
                    </w:rPr>
                  </w:pPr>
                  <w:r w:rsidRPr="00461BFD">
                    <w:rPr>
                      <w:b/>
                      <w:i/>
                    </w:rPr>
                    <w:t>Below</w:t>
                  </w:r>
                </w:p>
              </w:tc>
              <w:tc>
                <w:tcPr>
                  <w:tcW w:w="927" w:type="dxa"/>
                </w:tcPr>
                <w:p w14:paraId="4F132994" w14:textId="6E288345" w:rsidR="00800DD2" w:rsidRPr="00461BFD" w:rsidRDefault="00800DD2">
                  <w:pPr>
                    <w:spacing w:before="120"/>
                    <w:rPr>
                      <w:b/>
                      <w:i/>
                    </w:rPr>
                  </w:pPr>
                  <w:r w:rsidRPr="00461BFD">
                    <w:rPr>
                      <w:b/>
                      <w:i/>
                    </w:rPr>
                    <w:t>At</w:t>
                  </w:r>
                </w:p>
              </w:tc>
              <w:tc>
                <w:tcPr>
                  <w:tcW w:w="927" w:type="dxa"/>
                </w:tcPr>
                <w:p w14:paraId="2D2EF539" w14:textId="14AC2E9B" w:rsidR="00800DD2" w:rsidRPr="00461BFD" w:rsidRDefault="00800DD2">
                  <w:pPr>
                    <w:spacing w:before="120"/>
                    <w:rPr>
                      <w:b/>
                      <w:i/>
                    </w:rPr>
                  </w:pPr>
                  <w:r w:rsidRPr="00461BFD">
                    <w:rPr>
                      <w:b/>
                      <w:i/>
                    </w:rPr>
                    <w:t>Above</w:t>
                  </w:r>
                </w:p>
              </w:tc>
              <w:tc>
                <w:tcPr>
                  <w:tcW w:w="927" w:type="dxa"/>
                </w:tcPr>
                <w:p w14:paraId="7D82591B" w14:textId="0D3AB360" w:rsidR="00800DD2" w:rsidRPr="00461BFD" w:rsidRDefault="00800DD2">
                  <w:pPr>
                    <w:spacing w:before="120"/>
                    <w:rPr>
                      <w:b/>
                      <w:i/>
                    </w:rPr>
                  </w:pPr>
                  <w:r w:rsidRPr="00461BFD">
                    <w:rPr>
                      <w:b/>
                      <w:i/>
                    </w:rPr>
                    <w:t>Below</w:t>
                  </w:r>
                </w:p>
              </w:tc>
              <w:tc>
                <w:tcPr>
                  <w:tcW w:w="927" w:type="dxa"/>
                </w:tcPr>
                <w:p w14:paraId="0CA15301" w14:textId="5AFD23D9" w:rsidR="00800DD2" w:rsidRPr="00461BFD" w:rsidRDefault="00800DD2">
                  <w:pPr>
                    <w:spacing w:before="120"/>
                    <w:rPr>
                      <w:b/>
                      <w:i/>
                    </w:rPr>
                  </w:pPr>
                  <w:r w:rsidRPr="00461BFD">
                    <w:rPr>
                      <w:b/>
                      <w:i/>
                    </w:rPr>
                    <w:t>At</w:t>
                  </w:r>
                </w:p>
              </w:tc>
              <w:tc>
                <w:tcPr>
                  <w:tcW w:w="927" w:type="dxa"/>
                </w:tcPr>
                <w:p w14:paraId="23F9F9F3" w14:textId="5B39B2E0" w:rsidR="00800DD2" w:rsidRPr="00461BFD" w:rsidRDefault="00800DD2">
                  <w:pPr>
                    <w:spacing w:before="120"/>
                    <w:rPr>
                      <w:b/>
                      <w:i/>
                    </w:rPr>
                  </w:pPr>
                  <w:r w:rsidRPr="00461BFD">
                    <w:rPr>
                      <w:b/>
                      <w:i/>
                    </w:rPr>
                    <w:t>Above</w:t>
                  </w:r>
                </w:p>
              </w:tc>
            </w:tr>
            <w:tr w:rsidR="007A505E" w14:paraId="6733A46F" w14:textId="77777777" w:rsidTr="00800DD2">
              <w:tc>
                <w:tcPr>
                  <w:tcW w:w="926" w:type="dxa"/>
                </w:tcPr>
                <w:p w14:paraId="779A578E" w14:textId="44BD7450" w:rsidR="00800DD2" w:rsidRPr="00461BFD" w:rsidRDefault="00DA362A">
                  <w:pPr>
                    <w:spacing w:before="120"/>
                    <w:rPr>
                      <w:b/>
                      <w:i/>
                    </w:rPr>
                  </w:pPr>
                  <w:r w:rsidRPr="00461BFD">
                    <w:rPr>
                      <w:b/>
                      <w:i/>
                    </w:rPr>
                    <w:t>Yr1(5</w:t>
                  </w:r>
                  <w:r w:rsidR="00800DD2" w:rsidRPr="00461BFD">
                    <w:rPr>
                      <w:b/>
                      <w:i/>
                    </w:rPr>
                    <w:t>)</w:t>
                  </w:r>
                </w:p>
              </w:tc>
              <w:tc>
                <w:tcPr>
                  <w:tcW w:w="926" w:type="dxa"/>
                </w:tcPr>
                <w:p w14:paraId="771DCD22" w14:textId="73033C4E" w:rsidR="00800DD2" w:rsidRDefault="00DA362A">
                  <w:pPr>
                    <w:spacing w:before="120"/>
                    <w:rPr>
                      <w:i/>
                    </w:rPr>
                  </w:pPr>
                  <w:r>
                    <w:rPr>
                      <w:i/>
                    </w:rPr>
                    <w:t>60</w:t>
                  </w:r>
                  <w:r w:rsidR="007A505E">
                    <w:rPr>
                      <w:i/>
                    </w:rPr>
                    <w:t>%</w:t>
                  </w:r>
                </w:p>
              </w:tc>
              <w:tc>
                <w:tcPr>
                  <w:tcW w:w="926" w:type="dxa"/>
                </w:tcPr>
                <w:p w14:paraId="4D537694" w14:textId="33F43E28" w:rsidR="00800DD2" w:rsidRDefault="00DA362A">
                  <w:pPr>
                    <w:spacing w:before="120"/>
                    <w:rPr>
                      <w:i/>
                    </w:rPr>
                  </w:pPr>
                  <w:r>
                    <w:rPr>
                      <w:i/>
                    </w:rPr>
                    <w:t>20</w:t>
                  </w:r>
                  <w:r w:rsidR="0033631B">
                    <w:rPr>
                      <w:i/>
                    </w:rPr>
                    <w:t>%</w:t>
                  </w:r>
                </w:p>
              </w:tc>
              <w:tc>
                <w:tcPr>
                  <w:tcW w:w="927" w:type="dxa"/>
                </w:tcPr>
                <w:p w14:paraId="15F8F4E5" w14:textId="77D51B9E" w:rsidR="00800DD2" w:rsidRDefault="00DA362A">
                  <w:pPr>
                    <w:spacing w:before="120"/>
                    <w:rPr>
                      <w:i/>
                    </w:rPr>
                  </w:pPr>
                  <w:r>
                    <w:rPr>
                      <w:i/>
                    </w:rPr>
                    <w:t>20</w:t>
                  </w:r>
                  <w:r w:rsidR="0033631B">
                    <w:rPr>
                      <w:i/>
                    </w:rPr>
                    <w:t>%</w:t>
                  </w:r>
                </w:p>
              </w:tc>
              <w:tc>
                <w:tcPr>
                  <w:tcW w:w="927" w:type="dxa"/>
                </w:tcPr>
                <w:p w14:paraId="0AD7A29A" w14:textId="658D638B" w:rsidR="00800DD2" w:rsidRDefault="00DA362A">
                  <w:pPr>
                    <w:spacing w:before="120"/>
                    <w:rPr>
                      <w:i/>
                    </w:rPr>
                  </w:pPr>
                  <w:r>
                    <w:rPr>
                      <w:i/>
                    </w:rPr>
                    <w:t>40</w:t>
                  </w:r>
                  <w:r w:rsidR="0033631B">
                    <w:rPr>
                      <w:i/>
                    </w:rPr>
                    <w:t>%</w:t>
                  </w:r>
                </w:p>
              </w:tc>
              <w:tc>
                <w:tcPr>
                  <w:tcW w:w="927" w:type="dxa"/>
                </w:tcPr>
                <w:p w14:paraId="0D85A446" w14:textId="6E652F9F" w:rsidR="00800DD2" w:rsidRDefault="00DA362A">
                  <w:pPr>
                    <w:spacing w:before="120"/>
                    <w:rPr>
                      <w:i/>
                    </w:rPr>
                  </w:pPr>
                  <w:r>
                    <w:rPr>
                      <w:i/>
                    </w:rPr>
                    <w:t>60</w:t>
                  </w:r>
                  <w:r w:rsidR="0033631B">
                    <w:rPr>
                      <w:i/>
                    </w:rPr>
                    <w:t>%</w:t>
                  </w:r>
                </w:p>
              </w:tc>
              <w:tc>
                <w:tcPr>
                  <w:tcW w:w="927" w:type="dxa"/>
                </w:tcPr>
                <w:p w14:paraId="5AFBB8FE" w14:textId="77777777" w:rsidR="00800DD2" w:rsidRDefault="00800DD2">
                  <w:pPr>
                    <w:spacing w:before="120"/>
                    <w:rPr>
                      <w:i/>
                    </w:rPr>
                  </w:pPr>
                </w:p>
              </w:tc>
              <w:tc>
                <w:tcPr>
                  <w:tcW w:w="927" w:type="dxa"/>
                </w:tcPr>
                <w:p w14:paraId="05F4BE85" w14:textId="71264325" w:rsidR="00800DD2" w:rsidRDefault="00DA362A">
                  <w:pPr>
                    <w:spacing w:before="120"/>
                    <w:rPr>
                      <w:i/>
                    </w:rPr>
                  </w:pPr>
                  <w:r>
                    <w:rPr>
                      <w:i/>
                    </w:rPr>
                    <w:t>60</w:t>
                  </w:r>
                  <w:r w:rsidR="0033631B">
                    <w:rPr>
                      <w:i/>
                    </w:rPr>
                    <w:t>%</w:t>
                  </w:r>
                </w:p>
              </w:tc>
              <w:tc>
                <w:tcPr>
                  <w:tcW w:w="927" w:type="dxa"/>
                </w:tcPr>
                <w:p w14:paraId="193DAA6B" w14:textId="67E356AA" w:rsidR="00800DD2" w:rsidRDefault="00DA362A">
                  <w:pPr>
                    <w:spacing w:before="120"/>
                    <w:rPr>
                      <w:i/>
                    </w:rPr>
                  </w:pPr>
                  <w:r>
                    <w:rPr>
                      <w:i/>
                    </w:rPr>
                    <w:t>40</w:t>
                  </w:r>
                  <w:r w:rsidR="0033631B">
                    <w:rPr>
                      <w:i/>
                    </w:rPr>
                    <w:t>%</w:t>
                  </w:r>
                </w:p>
              </w:tc>
              <w:tc>
                <w:tcPr>
                  <w:tcW w:w="927" w:type="dxa"/>
                </w:tcPr>
                <w:p w14:paraId="6DBF83E4" w14:textId="6192DE14" w:rsidR="00800DD2" w:rsidRDefault="00800DD2">
                  <w:pPr>
                    <w:spacing w:before="120"/>
                    <w:rPr>
                      <w:i/>
                    </w:rPr>
                  </w:pPr>
                </w:p>
              </w:tc>
            </w:tr>
            <w:tr w:rsidR="007A505E" w14:paraId="1D530118" w14:textId="77777777" w:rsidTr="00800DD2">
              <w:tc>
                <w:tcPr>
                  <w:tcW w:w="926" w:type="dxa"/>
                </w:tcPr>
                <w:p w14:paraId="433811A9" w14:textId="3D127A82" w:rsidR="00800DD2" w:rsidRPr="00461BFD" w:rsidRDefault="00800DD2">
                  <w:pPr>
                    <w:spacing w:before="120"/>
                    <w:rPr>
                      <w:b/>
                      <w:i/>
                    </w:rPr>
                  </w:pPr>
                  <w:r w:rsidRPr="00461BFD">
                    <w:rPr>
                      <w:b/>
                      <w:i/>
                    </w:rPr>
                    <w:t>Yr2</w:t>
                  </w:r>
                  <w:r w:rsidR="00DA362A" w:rsidRPr="00461BFD">
                    <w:rPr>
                      <w:b/>
                      <w:i/>
                    </w:rPr>
                    <w:t>(9</w:t>
                  </w:r>
                  <w:r w:rsidR="00963C14" w:rsidRPr="00461BFD">
                    <w:rPr>
                      <w:b/>
                      <w:i/>
                    </w:rPr>
                    <w:t>)</w:t>
                  </w:r>
                </w:p>
              </w:tc>
              <w:tc>
                <w:tcPr>
                  <w:tcW w:w="926" w:type="dxa"/>
                </w:tcPr>
                <w:p w14:paraId="590A6A58" w14:textId="1EC21391" w:rsidR="00800DD2" w:rsidRDefault="00DA362A">
                  <w:pPr>
                    <w:spacing w:before="120"/>
                    <w:rPr>
                      <w:i/>
                    </w:rPr>
                  </w:pPr>
                  <w:r>
                    <w:rPr>
                      <w:i/>
                    </w:rPr>
                    <w:t>55.6</w:t>
                  </w:r>
                  <w:r w:rsidR="0033631B">
                    <w:rPr>
                      <w:i/>
                    </w:rPr>
                    <w:t>%</w:t>
                  </w:r>
                </w:p>
              </w:tc>
              <w:tc>
                <w:tcPr>
                  <w:tcW w:w="926" w:type="dxa"/>
                </w:tcPr>
                <w:p w14:paraId="7F9E85A9" w14:textId="61A05AC5" w:rsidR="00800DD2" w:rsidRDefault="00DA362A">
                  <w:pPr>
                    <w:spacing w:before="120"/>
                    <w:rPr>
                      <w:i/>
                    </w:rPr>
                  </w:pPr>
                  <w:r>
                    <w:rPr>
                      <w:i/>
                    </w:rPr>
                    <w:t>22.2</w:t>
                  </w:r>
                  <w:r w:rsidR="0033631B">
                    <w:rPr>
                      <w:i/>
                    </w:rPr>
                    <w:t>%</w:t>
                  </w:r>
                </w:p>
              </w:tc>
              <w:tc>
                <w:tcPr>
                  <w:tcW w:w="927" w:type="dxa"/>
                </w:tcPr>
                <w:p w14:paraId="7F7AA079" w14:textId="20E7F1CF" w:rsidR="00800DD2" w:rsidRDefault="00DA362A">
                  <w:pPr>
                    <w:spacing w:before="120"/>
                    <w:rPr>
                      <w:i/>
                    </w:rPr>
                  </w:pPr>
                  <w:r>
                    <w:rPr>
                      <w:i/>
                    </w:rPr>
                    <w:t>22.2%</w:t>
                  </w:r>
                </w:p>
              </w:tc>
              <w:tc>
                <w:tcPr>
                  <w:tcW w:w="927" w:type="dxa"/>
                </w:tcPr>
                <w:p w14:paraId="1E6B3A5F" w14:textId="3F37D0F4" w:rsidR="00800DD2" w:rsidRDefault="00DA362A">
                  <w:pPr>
                    <w:spacing w:before="120"/>
                    <w:rPr>
                      <w:i/>
                    </w:rPr>
                  </w:pPr>
                  <w:r>
                    <w:rPr>
                      <w:i/>
                    </w:rPr>
                    <w:t>55.6%</w:t>
                  </w:r>
                </w:p>
              </w:tc>
              <w:tc>
                <w:tcPr>
                  <w:tcW w:w="927" w:type="dxa"/>
                </w:tcPr>
                <w:p w14:paraId="12AAFE18" w14:textId="2A8F3CBE" w:rsidR="00800DD2" w:rsidRDefault="00DA362A">
                  <w:pPr>
                    <w:spacing w:before="120"/>
                    <w:rPr>
                      <w:i/>
                    </w:rPr>
                  </w:pPr>
                  <w:r>
                    <w:rPr>
                      <w:i/>
                    </w:rPr>
                    <w:t>44.4</w:t>
                  </w:r>
                  <w:r w:rsidR="0033631B">
                    <w:rPr>
                      <w:i/>
                    </w:rPr>
                    <w:t>%</w:t>
                  </w:r>
                </w:p>
              </w:tc>
              <w:tc>
                <w:tcPr>
                  <w:tcW w:w="927" w:type="dxa"/>
                </w:tcPr>
                <w:p w14:paraId="44E29F4F" w14:textId="77777777" w:rsidR="00800DD2" w:rsidRDefault="00800DD2">
                  <w:pPr>
                    <w:spacing w:before="120"/>
                    <w:rPr>
                      <w:i/>
                    </w:rPr>
                  </w:pPr>
                </w:p>
              </w:tc>
              <w:tc>
                <w:tcPr>
                  <w:tcW w:w="927" w:type="dxa"/>
                </w:tcPr>
                <w:p w14:paraId="45066334" w14:textId="65ACA086" w:rsidR="00800DD2" w:rsidRDefault="00DA362A">
                  <w:pPr>
                    <w:spacing w:before="120"/>
                    <w:rPr>
                      <w:i/>
                    </w:rPr>
                  </w:pPr>
                  <w:r>
                    <w:rPr>
                      <w:i/>
                    </w:rPr>
                    <w:t>55.6</w:t>
                  </w:r>
                  <w:r w:rsidR="0033631B">
                    <w:rPr>
                      <w:i/>
                    </w:rPr>
                    <w:t>%</w:t>
                  </w:r>
                </w:p>
              </w:tc>
              <w:tc>
                <w:tcPr>
                  <w:tcW w:w="927" w:type="dxa"/>
                </w:tcPr>
                <w:p w14:paraId="2118A300" w14:textId="40457CBE" w:rsidR="00800DD2" w:rsidRDefault="00DA362A">
                  <w:pPr>
                    <w:spacing w:before="120"/>
                    <w:rPr>
                      <w:i/>
                    </w:rPr>
                  </w:pPr>
                  <w:r>
                    <w:rPr>
                      <w:i/>
                    </w:rPr>
                    <w:t>22.2</w:t>
                  </w:r>
                  <w:r w:rsidR="0033631B">
                    <w:rPr>
                      <w:i/>
                    </w:rPr>
                    <w:t>%</w:t>
                  </w:r>
                </w:p>
              </w:tc>
              <w:tc>
                <w:tcPr>
                  <w:tcW w:w="927" w:type="dxa"/>
                </w:tcPr>
                <w:p w14:paraId="4931FA10" w14:textId="3D9AAD61" w:rsidR="00800DD2" w:rsidRDefault="00DA362A">
                  <w:pPr>
                    <w:spacing w:before="120"/>
                    <w:rPr>
                      <w:i/>
                    </w:rPr>
                  </w:pPr>
                  <w:r>
                    <w:rPr>
                      <w:i/>
                    </w:rPr>
                    <w:t>22.2%</w:t>
                  </w:r>
                </w:p>
              </w:tc>
            </w:tr>
            <w:tr w:rsidR="007A505E" w14:paraId="3CFDB583" w14:textId="77777777" w:rsidTr="00800DD2">
              <w:tc>
                <w:tcPr>
                  <w:tcW w:w="926" w:type="dxa"/>
                </w:tcPr>
                <w:p w14:paraId="145DC1EC" w14:textId="7F973BF3" w:rsidR="00800DD2" w:rsidRPr="00461BFD" w:rsidRDefault="00800DD2">
                  <w:pPr>
                    <w:spacing w:before="120"/>
                    <w:rPr>
                      <w:b/>
                      <w:i/>
                    </w:rPr>
                  </w:pPr>
                  <w:r w:rsidRPr="00461BFD">
                    <w:rPr>
                      <w:b/>
                      <w:i/>
                    </w:rPr>
                    <w:t>Yr3</w:t>
                  </w:r>
                  <w:r w:rsidR="00DA362A" w:rsidRPr="00461BFD">
                    <w:rPr>
                      <w:b/>
                      <w:i/>
                    </w:rPr>
                    <w:t>(3</w:t>
                  </w:r>
                  <w:r w:rsidR="00963C14" w:rsidRPr="00461BFD">
                    <w:rPr>
                      <w:b/>
                      <w:i/>
                    </w:rPr>
                    <w:t>)</w:t>
                  </w:r>
                </w:p>
              </w:tc>
              <w:tc>
                <w:tcPr>
                  <w:tcW w:w="926" w:type="dxa"/>
                </w:tcPr>
                <w:p w14:paraId="6BE54A28" w14:textId="39489D7F" w:rsidR="00800DD2" w:rsidRDefault="00DA362A">
                  <w:pPr>
                    <w:spacing w:before="120"/>
                    <w:rPr>
                      <w:i/>
                    </w:rPr>
                  </w:pPr>
                  <w:r>
                    <w:rPr>
                      <w:i/>
                    </w:rPr>
                    <w:t>66.7</w:t>
                  </w:r>
                  <w:r w:rsidR="0033631B">
                    <w:rPr>
                      <w:i/>
                    </w:rPr>
                    <w:t>%</w:t>
                  </w:r>
                </w:p>
              </w:tc>
              <w:tc>
                <w:tcPr>
                  <w:tcW w:w="926" w:type="dxa"/>
                </w:tcPr>
                <w:p w14:paraId="565ACF0D" w14:textId="4C05AD95" w:rsidR="00800DD2" w:rsidRDefault="00DA362A">
                  <w:pPr>
                    <w:spacing w:before="120"/>
                    <w:rPr>
                      <w:i/>
                    </w:rPr>
                  </w:pPr>
                  <w:r>
                    <w:rPr>
                      <w:i/>
                    </w:rPr>
                    <w:t>33.3</w:t>
                  </w:r>
                  <w:r w:rsidR="0033631B">
                    <w:rPr>
                      <w:i/>
                    </w:rPr>
                    <w:t>%</w:t>
                  </w:r>
                </w:p>
              </w:tc>
              <w:tc>
                <w:tcPr>
                  <w:tcW w:w="927" w:type="dxa"/>
                </w:tcPr>
                <w:p w14:paraId="74C5FC90" w14:textId="0B15E694" w:rsidR="00800DD2" w:rsidRDefault="00800DD2">
                  <w:pPr>
                    <w:spacing w:before="120"/>
                    <w:rPr>
                      <w:i/>
                    </w:rPr>
                  </w:pPr>
                </w:p>
              </w:tc>
              <w:tc>
                <w:tcPr>
                  <w:tcW w:w="927" w:type="dxa"/>
                </w:tcPr>
                <w:p w14:paraId="6A770E28" w14:textId="77146C84" w:rsidR="00800DD2" w:rsidRDefault="00DA362A">
                  <w:pPr>
                    <w:spacing w:before="120"/>
                    <w:rPr>
                      <w:i/>
                    </w:rPr>
                  </w:pPr>
                  <w:r>
                    <w:rPr>
                      <w:i/>
                    </w:rPr>
                    <w:t>100</w:t>
                  </w:r>
                  <w:r w:rsidR="0033631B">
                    <w:rPr>
                      <w:i/>
                    </w:rPr>
                    <w:t>%</w:t>
                  </w:r>
                </w:p>
              </w:tc>
              <w:tc>
                <w:tcPr>
                  <w:tcW w:w="927" w:type="dxa"/>
                </w:tcPr>
                <w:p w14:paraId="7466F975" w14:textId="2D1A354E" w:rsidR="00800DD2" w:rsidRDefault="00800DD2">
                  <w:pPr>
                    <w:spacing w:before="120"/>
                    <w:rPr>
                      <w:i/>
                    </w:rPr>
                  </w:pPr>
                </w:p>
              </w:tc>
              <w:tc>
                <w:tcPr>
                  <w:tcW w:w="927" w:type="dxa"/>
                </w:tcPr>
                <w:p w14:paraId="2D7CF10B" w14:textId="59C32194" w:rsidR="00800DD2" w:rsidRDefault="00800DD2">
                  <w:pPr>
                    <w:spacing w:before="120"/>
                    <w:rPr>
                      <w:i/>
                    </w:rPr>
                  </w:pPr>
                </w:p>
              </w:tc>
              <w:tc>
                <w:tcPr>
                  <w:tcW w:w="927" w:type="dxa"/>
                </w:tcPr>
                <w:p w14:paraId="2D38106F" w14:textId="4A0D2283" w:rsidR="00800DD2" w:rsidRDefault="0033631B">
                  <w:pPr>
                    <w:spacing w:before="120"/>
                    <w:rPr>
                      <w:i/>
                    </w:rPr>
                  </w:pPr>
                  <w:r>
                    <w:rPr>
                      <w:i/>
                    </w:rPr>
                    <w:t>66.7%</w:t>
                  </w:r>
                </w:p>
              </w:tc>
              <w:tc>
                <w:tcPr>
                  <w:tcW w:w="927" w:type="dxa"/>
                </w:tcPr>
                <w:p w14:paraId="5ADB3934" w14:textId="235D9113" w:rsidR="00800DD2" w:rsidRDefault="0033631B">
                  <w:pPr>
                    <w:spacing w:before="120"/>
                    <w:rPr>
                      <w:i/>
                    </w:rPr>
                  </w:pPr>
                  <w:r>
                    <w:rPr>
                      <w:i/>
                    </w:rPr>
                    <w:t>33.3%</w:t>
                  </w:r>
                </w:p>
              </w:tc>
              <w:tc>
                <w:tcPr>
                  <w:tcW w:w="927" w:type="dxa"/>
                </w:tcPr>
                <w:p w14:paraId="272E79A7" w14:textId="77777777" w:rsidR="00800DD2" w:rsidRDefault="00800DD2">
                  <w:pPr>
                    <w:spacing w:before="120"/>
                    <w:rPr>
                      <w:i/>
                    </w:rPr>
                  </w:pPr>
                </w:p>
              </w:tc>
            </w:tr>
            <w:tr w:rsidR="007A505E" w14:paraId="55379E43" w14:textId="77777777" w:rsidTr="00800DD2">
              <w:tc>
                <w:tcPr>
                  <w:tcW w:w="926" w:type="dxa"/>
                </w:tcPr>
                <w:p w14:paraId="6C29451E" w14:textId="22BD1C9C" w:rsidR="00800DD2" w:rsidRPr="00461BFD" w:rsidRDefault="00800DD2">
                  <w:pPr>
                    <w:spacing w:before="120"/>
                    <w:rPr>
                      <w:b/>
                      <w:i/>
                    </w:rPr>
                  </w:pPr>
                  <w:r w:rsidRPr="00461BFD">
                    <w:rPr>
                      <w:b/>
                      <w:i/>
                    </w:rPr>
                    <w:t>Yr4</w:t>
                  </w:r>
                  <w:r w:rsidR="00DA362A" w:rsidRPr="00461BFD">
                    <w:rPr>
                      <w:b/>
                      <w:i/>
                    </w:rPr>
                    <w:t>(5</w:t>
                  </w:r>
                  <w:r w:rsidR="00963C14" w:rsidRPr="00461BFD">
                    <w:rPr>
                      <w:b/>
                      <w:i/>
                    </w:rPr>
                    <w:t>)</w:t>
                  </w:r>
                </w:p>
              </w:tc>
              <w:tc>
                <w:tcPr>
                  <w:tcW w:w="926" w:type="dxa"/>
                </w:tcPr>
                <w:p w14:paraId="064D8AA3" w14:textId="7C0D2A94" w:rsidR="00800DD2" w:rsidRDefault="00DA362A">
                  <w:pPr>
                    <w:spacing w:before="120"/>
                    <w:rPr>
                      <w:i/>
                    </w:rPr>
                  </w:pPr>
                  <w:r>
                    <w:rPr>
                      <w:i/>
                    </w:rPr>
                    <w:t>40</w:t>
                  </w:r>
                  <w:r w:rsidR="0033631B">
                    <w:rPr>
                      <w:i/>
                    </w:rPr>
                    <w:t>%</w:t>
                  </w:r>
                </w:p>
              </w:tc>
              <w:tc>
                <w:tcPr>
                  <w:tcW w:w="926" w:type="dxa"/>
                </w:tcPr>
                <w:p w14:paraId="67CC30B5" w14:textId="652799EB" w:rsidR="00800DD2" w:rsidRDefault="00DA362A">
                  <w:pPr>
                    <w:spacing w:before="120"/>
                    <w:rPr>
                      <w:i/>
                    </w:rPr>
                  </w:pPr>
                  <w:r>
                    <w:rPr>
                      <w:i/>
                    </w:rPr>
                    <w:t>40</w:t>
                  </w:r>
                  <w:r w:rsidR="0033631B">
                    <w:rPr>
                      <w:i/>
                    </w:rPr>
                    <w:t>%</w:t>
                  </w:r>
                </w:p>
              </w:tc>
              <w:tc>
                <w:tcPr>
                  <w:tcW w:w="927" w:type="dxa"/>
                </w:tcPr>
                <w:p w14:paraId="1F757103" w14:textId="60B89BBF" w:rsidR="00800DD2" w:rsidRDefault="00DA362A">
                  <w:pPr>
                    <w:spacing w:before="120"/>
                    <w:rPr>
                      <w:i/>
                    </w:rPr>
                  </w:pPr>
                  <w:r>
                    <w:rPr>
                      <w:i/>
                    </w:rPr>
                    <w:t>20</w:t>
                  </w:r>
                  <w:r w:rsidR="0033631B">
                    <w:rPr>
                      <w:i/>
                    </w:rPr>
                    <w:t>%</w:t>
                  </w:r>
                </w:p>
              </w:tc>
              <w:tc>
                <w:tcPr>
                  <w:tcW w:w="927" w:type="dxa"/>
                </w:tcPr>
                <w:p w14:paraId="777D5116" w14:textId="0A3534EE" w:rsidR="00800DD2" w:rsidRDefault="00DA362A">
                  <w:pPr>
                    <w:spacing w:before="120"/>
                    <w:rPr>
                      <w:i/>
                    </w:rPr>
                  </w:pPr>
                  <w:r>
                    <w:rPr>
                      <w:i/>
                    </w:rPr>
                    <w:t>80</w:t>
                  </w:r>
                  <w:r w:rsidR="0033631B">
                    <w:rPr>
                      <w:i/>
                    </w:rPr>
                    <w:t>%</w:t>
                  </w:r>
                </w:p>
              </w:tc>
              <w:tc>
                <w:tcPr>
                  <w:tcW w:w="927" w:type="dxa"/>
                </w:tcPr>
                <w:p w14:paraId="1D9CA065" w14:textId="249737B9" w:rsidR="00800DD2" w:rsidRDefault="00DA362A">
                  <w:pPr>
                    <w:spacing w:before="120"/>
                    <w:rPr>
                      <w:i/>
                    </w:rPr>
                  </w:pPr>
                  <w:r>
                    <w:rPr>
                      <w:i/>
                    </w:rPr>
                    <w:t>20</w:t>
                  </w:r>
                  <w:r w:rsidR="0033631B">
                    <w:rPr>
                      <w:i/>
                    </w:rPr>
                    <w:t>%</w:t>
                  </w:r>
                </w:p>
              </w:tc>
              <w:tc>
                <w:tcPr>
                  <w:tcW w:w="927" w:type="dxa"/>
                </w:tcPr>
                <w:p w14:paraId="1CC20FA5" w14:textId="253B868E" w:rsidR="00800DD2" w:rsidRDefault="00800DD2">
                  <w:pPr>
                    <w:spacing w:before="120"/>
                    <w:rPr>
                      <w:i/>
                    </w:rPr>
                  </w:pPr>
                </w:p>
              </w:tc>
              <w:tc>
                <w:tcPr>
                  <w:tcW w:w="927" w:type="dxa"/>
                </w:tcPr>
                <w:p w14:paraId="5BDEF552" w14:textId="33B5D4C1" w:rsidR="00800DD2" w:rsidRDefault="00DA362A">
                  <w:pPr>
                    <w:spacing w:before="120"/>
                    <w:rPr>
                      <w:i/>
                    </w:rPr>
                  </w:pPr>
                  <w:r>
                    <w:rPr>
                      <w:i/>
                    </w:rPr>
                    <w:t>60</w:t>
                  </w:r>
                  <w:r w:rsidR="0033631B">
                    <w:rPr>
                      <w:i/>
                    </w:rPr>
                    <w:t>%</w:t>
                  </w:r>
                </w:p>
              </w:tc>
              <w:tc>
                <w:tcPr>
                  <w:tcW w:w="927" w:type="dxa"/>
                </w:tcPr>
                <w:p w14:paraId="13763677" w14:textId="2B0A2009" w:rsidR="00800DD2" w:rsidRDefault="00DA362A">
                  <w:pPr>
                    <w:spacing w:before="120"/>
                    <w:rPr>
                      <w:i/>
                    </w:rPr>
                  </w:pPr>
                  <w:r>
                    <w:rPr>
                      <w:i/>
                    </w:rPr>
                    <w:t>20</w:t>
                  </w:r>
                  <w:r w:rsidR="0033631B">
                    <w:rPr>
                      <w:i/>
                    </w:rPr>
                    <w:t>%</w:t>
                  </w:r>
                </w:p>
              </w:tc>
              <w:tc>
                <w:tcPr>
                  <w:tcW w:w="927" w:type="dxa"/>
                </w:tcPr>
                <w:p w14:paraId="39142762" w14:textId="30F6B244" w:rsidR="00800DD2" w:rsidRDefault="00DA362A">
                  <w:pPr>
                    <w:spacing w:before="120"/>
                    <w:rPr>
                      <w:i/>
                    </w:rPr>
                  </w:pPr>
                  <w:r>
                    <w:rPr>
                      <w:i/>
                    </w:rPr>
                    <w:t>20%</w:t>
                  </w:r>
                </w:p>
              </w:tc>
            </w:tr>
          </w:tbl>
          <w:p w14:paraId="56004658" w14:textId="16F8D3CF" w:rsidR="004408C1" w:rsidRDefault="00BC285B">
            <w:pPr>
              <w:spacing w:before="120"/>
              <w:rPr>
                <w:i/>
              </w:rPr>
            </w:pPr>
            <w:r>
              <w:rPr>
                <w:i/>
              </w:rPr>
              <w:lastRenderedPageBreak/>
              <w:t>In</w:t>
            </w:r>
            <w:r w:rsidR="002D0074">
              <w:rPr>
                <w:i/>
              </w:rPr>
              <w:t xml:space="preserve"> the EYFS</w:t>
            </w:r>
            <w:r w:rsidR="00461BFD">
              <w:rPr>
                <w:i/>
              </w:rPr>
              <w:t xml:space="preserve"> 2022/23</w:t>
            </w:r>
            <w:r w:rsidR="002D0074">
              <w:rPr>
                <w:i/>
              </w:rPr>
              <w:t xml:space="preserve"> </w:t>
            </w:r>
            <w:r w:rsidR="00461BFD">
              <w:rPr>
                <w:i/>
              </w:rPr>
              <w:t xml:space="preserve">by the beginning of the spring term, </w:t>
            </w:r>
            <w:r w:rsidR="00425603">
              <w:rPr>
                <w:i/>
              </w:rPr>
              <w:t>there were</w:t>
            </w:r>
            <w:r w:rsidR="00DA362A">
              <w:rPr>
                <w:i/>
              </w:rPr>
              <w:t xml:space="preserve"> </w:t>
            </w:r>
            <w:r w:rsidR="00425603">
              <w:rPr>
                <w:i/>
              </w:rPr>
              <w:t>0</w:t>
            </w:r>
            <w:r>
              <w:rPr>
                <w:i/>
              </w:rPr>
              <w:t xml:space="preserve"> pupils eligible to PP funding</w:t>
            </w:r>
            <w:r w:rsidR="001E3449">
              <w:rPr>
                <w:i/>
              </w:rPr>
              <w:t>.</w:t>
            </w:r>
          </w:p>
          <w:p w14:paraId="659D30B0" w14:textId="3765066D" w:rsidR="0025033C" w:rsidRPr="0025033C" w:rsidRDefault="0025033C" w:rsidP="0098349D">
            <w:pPr>
              <w:spacing w:before="120"/>
              <w:rPr>
                <w:b/>
                <w:i/>
              </w:rPr>
            </w:pPr>
            <w:r w:rsidRPr="0025033C">
              <w:rPr>
                <w:b/>
                <w:i/>
              </w:rPr>
              <w:t>Catch-up Funding</w:t>
            </w:r>
          </w:p>
          <w:p w14:paraId="79587429" w14:textId="12393F14" w:rsidR="0098349D" w:rsidRDefault="0072669B" w:rsidP="0098349D">
            <w:pPr>
              <w:spacing w:before="120"/>
              <w:rPr>
                <w:i/>
              </w:rPr>
            </w:pPr>
            <w:r>
              <w:rPr>
                <w:i/>
              </w:rPr>
              <w:t>We have provided c</w:t>
            </w:r>
            <w:r w:rsidR="00C9404C">
              <w:rPr>
                <w:i/>
              </w:rPr>
              <w:t xml:space="preserve">atch-up for phonics and early reading through the Little </w:t>
            </w:r>
            <w:proofErr w:type="spellStart"/>
            <w:r w:rsidR="00C9404C">
              <w:rPr>
                <w:i/>
              </w:rPr>
              <w:t>Wandle</w:t>
            </w:r>
            <w:proofErr w:type="spellEnd"/>
            <w:r w:rsidR="00C9404C">
              <w:rPr>
                <w:i/>
              </w:rPr>
              <w:t xml:space="preserve"> phonic scheme</w:t>
            </w:r>
            <w:r>
              <w:rPr>
                <w:i/>
              </w:rPr>
              <w:t>.</w:t>
            </w:r>
            <w:r w:rsidR="0098349D">
              <w:rPr>
                <w:i/>
              </w:rPr>
              <w:t xml:space="preserve"> Catch-up and Keep-up interventions</w:t>
            </w:r>
            <w:r w:rsidR="00C9404C">
              <w:rPr>
                <w:i/>
              </w:rPr>
              <w:t xml:space="preserve"> </w:t>
            </w:r>
            <w:r>
              <w:rPr>
                <w:i/>
              </w:rPr>
              <w:t>have been</w:t>
            </w:r>
            <w:r w:rsidR="0098349D">
              <w:rPr>
                <w:i/>
              </w:rPr>
              <w:t xml:space="preserve"> provided </w:t>
            </w:r>
            <w:r w:rsidR="00C9404C">
              <w:rPr>
                <w:i/>
              </w:rPr>
              <w:t>using support alr</w:t>
            </w:r>
            <w:r>
              <w:rPr>
                <w:i/>
              </w:rPr>
              <w:t xml:space="preserve">eady available in the class. </w:t>
            </w:r>
          </w:p>
          <w:p w14:paraId="0B8B2CE3" w14:textId="6B0275B8" w:rsidR="00580323" w:rsidRDefault="00425603" w:rsidP="00580323">
            <w:pPr>
              <w:spacing w:before="120"/>
              <w:rPr>
                <w:i/>
              </w:rPr>
            </w:pPr>
            <w:r>
              <w:rPr>
                <w:i/>
              </w:rPr>
              <w:t>No e</w:t>
            </w:r>
            <w:r w:rsidR="00580323">
              <w:rPr>
                <w:i/>
              </w:rPr>
              <w:t>xternal tutoring</w:t>
            </w:r>
            <w:r w:rsidR="008322D4">
              <w:rPr>
                <w:i/>
              </w:rPr>
              <w:t xml:space="preserve"> was</w:t>
            </w:r>
            <w:r>
              <w:rPr>
                <w:i/>
              </w:rPr>
              <w:t xml:space="preserve"> used in 2022-23</w:t>
            </w:r>
          </w:p>
          <w:p w14:paraId="2E0CF435" w14:textId="24157F67" w:rsidR="0098349D" w:rsidRDefault="00425603" w:rsidP="0098349D">
            <w:pPr>
              <w:spacing w:before="120"/>
              <w:rPr>
                <w:i/>
              </w:rPr>
            </w:pPr>
            <w:r>
              <w:rPr>
                <w:i/>
              </w:rPr>
              <w:t>We purchased no Chromebooks u</w:t>
            </w:r>
            <w:r w:rsidR="0072669B">
              <w:rPr>
                <w:i/>
              </w:rPr>
              <w:t>sing pupil p</w:t>
            </w:r>
            <w:r>
              <w:rPr>
                <w:i/>
              </w:rPr>
              <w:t xml:space="preserve">remium funding in 2022-23. There were no new Pupil Premium pupils in reception and all other pupils had access to a previously purchased Chromebook. </w:t>
            </w:r>
          </w:p>
          <w:p w14:paraId="1B98624B" w14:textId="0A171059" w:rsidR="005D62FB" w:rsidRDefault="00757C6B" w:rsidP="0098349D">
            <w:pPr>
              <w:spacing w:before="120"/>
              <w:rPr>
                <w:i/>
              </w:rPr>
            </w:pPr>
            <w:r>
              <w:rPr>
                <w:i/>
              </w:rPr>
              <w:t>Pupil Premium funding was used to fund educationa</w:t>
            </w:r>
            <w:r w:rsidR="00A15884">
              <w:rPr>
                <w:i/>
              </w:rPr>
              <w:t xml:space="preserve">l visits and after school clubs for all </w:t>
            </w:r>
            <w:r w:rsidR="008322D4" w:rsidRPr="008322D4">
              <w:rPr>
                <w:i/>
              </w:rPr>
              <w:t>28</w:t>
            </w:r>
            <w:r w:rsidR="00A15884">
              <w:rPr>
                <w:i/>
              </w:rPr>
              <w:t xml:space="preserve"> pupils.</w:t>
            </w:r>
            <w:r>
              <w:rPr>
                <w:i/>
              </w:rPr>
              <w:t xml:space="preserve"> </w:t>
            </w:r>
            <w:r w:rsidR="0072669B">
              <w:rPr>
                <w:i/>
              </w:rPr>
              <w:t>This provided pupils with opportunities to experience new activities that may not be available outside of school</w:t>
            </w:r>
            <w:r w:rsidR="0092288A">
              <w:rPr>
                <w:i/>
              </w:rPr>
              <w:t>.</w:t>
            </w:r>
            <w:r w:rsidR="0072669B">
              <w:rPr>
                <w:i/>
              </w:rPr>
              <w:t xml:space="preserve"> </w:t>
            </w:r>
          </w:p>
          <w:p w14:paraId="2A7D5546" w14:textId="3BF9C7EF" w:rsidR="00007AEF" w:rsidRPr="003B1313" w:rsidRDefault="0072669B" w:rsidP="008322D4">
            <w:pPr>
              <w:spacing w:before="120"/>
              <w:rPr>
                <w:i/>
              </w:rPr>
            </w:pPr>
            <w:r>
              <w:rPr>
                <w:i/>
              </w:rPr>
              <w:t>Pupil premium funding</w:t>
            </w:r>
            <w:r w:rsidR="0031645C">
              <w:rPr>
                <w:i/>
              </w:rPr>
              <w:t xml:space="preserve"> was used to increase the hours of HOPE emotional support. Individual pupils complete a 6 </w:t>
            </w:r>
            <w:proofErr w:type="gramStart"/>
            <w:r w:rsidR="0031645C">
              <w:rPr>
                <w:i/>
              </w:rPr>
              <w:t>-8 week</w:t>
            </w:r>
            <w:proofErr w:type="gramEnd"/>
            <w:r w:rsidR="0031645C">
              <w:rPr>
                <w:i/>
              </w:rPr>
              <w:t xml:space="preserve"> programme of support. During the academic </w:t>
            </w:r>
            <w:r w:rsidR="008322D4">
              <w:rPr>
                <w:i/>
              </w:rPr>
              <w:t xml:space="preserve">8 </w:t>
            </w:r>
            <w:r w:rsidR="00B570EF">
              <w:rPr>
                <w:i/>
              </w:rPr>
              <w:t>pupils</w:t>
            </w:r>
            <w:r w:rsidR="006E69D7">
              <w:rPr>
                <w:i/>
              </w:rPr>
              <w:t xml:space="preserve"> eligible for pupil premium funding accessed HOPE. </w:t>
            </w:r>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0F4A2C05"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53366FCD"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56200E4D" w:rsidR="00E66558" w:rsidRDefault="0037126E">
            <w:pPr>
              <w:pStyle w:val="TableRowCentered"/>
              <w:jc w:val="left"/>
            </w:pPr>
            <w:r>
              <w:t>Support within the class for basic skills, reading, writing and maths</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15A40EDD" w:rsidR="00E66558" w:rsidRDefault="0037126E">
            <w:pPr>
              <w:pStyle w:val="TableRowCentered"/>
              <w:jc w:val="left"/>
            </w:pPr>
            <w:r>
              <w:t>All pupils are working at or above the expected level.</w:t>
            </w:r>
          </w:p>
        </w:tc>
      </w:tr>
      <w:bookmarkEnd w:id="17"/>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77777777" w:rsidR="00E66558" w:rsidRDefault="00E66558" w:rsidP="00A15884">
            <w:pPr>
              <w:spacing w:before="120" w:after="120"/>
              <w:rPr>
                <w:i/>
                <w:iCs/>
              </w:rPr>
            </w:pPr>
          </w:p>
        </w:tc>
      </w:tr>
      <w:bookmarkEnd w:id="14"/>
      <w:bookmarkEnd w:id="15"/>
      <w:bookmarkEnd w:id="16"/>
    </w:tbl>
    <w:p w14:paraId="2A7D5564" w14:textId="77777777" w:rsidR="00E66558" w:rsidRDefault="00E66558"/>
    <w:sectPr w:rsidR="00E66558">
      <w:headerReference w:type="default" r:id="rId12"/>
      <w:footerReference w:type="default" r:id="rId1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1B99" w14:textId="77777777" w:rsidR="00E23474" w:rsidRDefault="00E23474">
      <w:pPr>
        <w:spacing w:after="0" w:line="240" w:lineRule="auto"/>
      </w:pPr>
      <w:r>
        <w:separator/>
      </w:r>
    </w:p>
  </w:endnote>
  <w:endnote w:type="continuationSeparator" w:id="0">
    <w:p w14:paraId="183EE776" w14:textId="77777777" w:rsidR="00E23474" w:rsidRDefault="00E23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1AC8B694" w:rsidR="00E23474" w:rsidRDefault="00E23474">
    <w:pPr>
      <w:pStyle w:val="Footer"/>
      <w:ind w:firstLine="4513"/>
    </w:pPr>
    <w:r>
      <w:fldChar w:fldCharType="begin"/>
    </w:r>
    <w:r>
      <w:instrText xml:space="preserve"> PAGE </w:instrText>
    </w:r>
    <w:r>
      <w:fldChar w:fldCharType="separate"/>
    </w:r>
    <w:r w:rsidR="008E6D31">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99D76" w14:textId="77777777" w:rsidR="00E23474" w:rsidRDefault="00E23474">
      <w:pPr>
        <w:spacing w:after="0" w:line="240" w:lineRule="auto"/>
      </w:pPr>
      <w:r>
        <w:separator/>
      </w:r>
    </w:p>
  </w:footnote>
  <w:footnote w:type="continuationSeparator" w:id="0">
    <w:p w14:paraId="5021A7ED" w14:textId="77777777" w:rsidR="00E23474" w:rsidRDefault="00E23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E23474" w:rsidRDefault="00E234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8D55F4"/>
    <w:multiLevelType w:val="hybridMultilevel"/>
    <w:tmpl w:val="8FF40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8"/>
  </w:num>
  <w:num w:numId="8">
    <w:abstractNumId w:val="13"/>
  </w:num>
  <w:num w:numId="9">
    <w:abstractNumId w:val="11"/>
  </w:num>
  <w:num w:numId="10">
    <w:abstractNumId w:val="10"/>
  </w:num>
  <w:num w:numId="11">
    <w:abstractNumId w:val="2"/>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7872"/>
    <w:rsid w:val="00007AEF"/>
    <w:rsid w:val="00010FE9"/>
    <w:rsid w:val="0001366C"/>
    <w:rsid w:val="00014D3A"/>
    <w:rsid w:val="00016E8A"/>
    <w:rsid w:val="00022A46"/>
    <w:rsid w:val="000419D1"/>
    <w:rsid w:val="00066B73"/>
    <w:rsid w:val="000879B4"/>
    <w:rsid w:val="000B5E52"/>
    <w:rsid w:val="00120AB1"/>
    <w:rsid w:val="001A5651"/>
    <w:rsid w:val="001E3449"/>
    <w:rsid w:val="00215C98"/>
    <w:rsid w:val="00232E81"/>
    <w:rsid w:val="0024134B"/>
    <w:rsid w:val="0025033C"/>
    <w:rsid w:val="0027205F"/>
    <w:rsid w:val="00297F7D"/>
    <w:rsid w:val="002A7FE9"/>
    <w:rsid w:val="002C69F6"/>
    <w:rsid w:val="002D0074"/>
    <w:rsid w:val="0031645C"/>
    <w:rsid w:val="0033631B"/>
    <w:rsid w:val="0036767F"/>
    <w:rsid w:val="0037126E"/>
    <w:rsid w:val="003A3D68"/>
    <w:rsid w:val="003B1313"/>
    <w:rsid w:val="003C2334"/>
    <w:rsid w:val="00403A93"/>
    <w:rsid w:val="004044AA"/>
    <w:rsid w:val="00425603"/>
    <w:rsid w:val="004408C1"/>
    <w:rsid w:val="004413BF"/>
    <w:rsid w:val="00461BFD"/>
    <w:rsid w:val="00476E87"/>
    <w:rsid w:val="00477071"/>
    <w:rsid w:val="004A5786"/>
    <w:rsid w:val="004D04DD"/>
    <w:rsid w:val="004D5315"/>
    <w:rsid w:val="004F3E89"/>
    <w:rsid w:val="005600A1"/>
    <w:rsid w:val="00560FEE"/>
    <w:rsid w:val="00561728"/>
    <w:rsid w:val="00566901"/>
    <w:rsid w:val="00580323"/>
    <w:rsid w:val="0059211A"/>
    <w:rsid w:val="005A3FAB"/>
    <w:rsid w:val="005C0662"/>
    <w:rsid w:val="005D62FB"/>
    <w:rsid w:val="00620F67"/>
    <w:rsid w:val="006221D5"/>
    <w:rsid w:val="00627A2A"/>
    <w:rsid w:val="00643163"/>
    <w:rsid w:val="00661396"/>
    <w:rsid w:val="006A33EF"/>
    <w:rsid w:val="006D0B59"/>
    <w:rsid w:val="006E1CE6"/>
    <w:rsid w:val="006E69D7"/>
    <w:rsid w:val="006E7FB1"/>
    <w:rsid w:val="006F68FE"/>
    <w:rsid w:val="00707B09"/>
    <w:rsid w:val="00717376"/>
    <w:rsid w:val="0072669B"/>
    <w:rsid w:val="007308C8"/>
    <w:rsid w:val="00737ACF"/>
    <w:rsid w:val="00741B9E"/>
    <w:rsid w:val="00757C6B"/>
    <w:rsid w:val="00763763"/>
    <w:rsid w:val="007A505E"/>
    <w:rsid w:val="007A6986"/>
    <w:rsid w:val="007C2F04"/>
    <w:rsid w:val="007D2312"/>
    <w:rsid w:val="00800DD2"/>
    <w:rsid w:val="00805443"/>
    <w:rsid w:val="00806C51"/>
    <w:rsid w:val="00824291"/>
    <w:rsid w:val="008322D4"/>
    <w:rsid w:val="00882D79"/>
    <w:rsid w:val="008B52DE"/>
    <w:rsid w:val="008B62FB"/>
    <w:rsid w:val="008E6D31"/>
    <w:rsid w:val="009176F5"/>
    <w:rsid w:val="0091782D"/>
    <w:rsid w:val="0092288A"/>
    <w:rsid w:val="0094664A"/>
    <w:rsid w:val="00953790"/>
    <w:rsid w:val="00963C14"/>
    <w:rsid w:val="0098349D"/>
    <w:rsid w:val="009D71E8"/>
    <w:rsid w:val="009F63BE"/>
    <w:rsid w:val="00A15884"/>
    <w:rsid w:val="00A57A20"/>
    <w:rsid w:val="00A64368"/>
    <w:rsid w:val="00A6601E"/>
    <w:rsid w:val="00A90A86"/>
    <w:rsid w:val="00B5568D"/>
    <w:rsid w:val="00B570EF"/>
    <w:rsid w:val="00B81219"/>
    <w:rsid w:val="00BC285B"/>
    <w:rsid w:val="00BD1768"/>
    <w:rsid w:val="00BE0268"/>
    <w:rsid w:val="00C175A2"/>
    <w:rsid w:val="00C43618"/>
    <w:rsid w:val="00C61FF0"/>
    <w:rsid w:val="00C65E98"/>
    <w:rsid w:val="00C9404C"/>
    <w:rsid w:val="00CE6D36"/>
    <w:rsid w:val="00D225A8"/>
    <w:rsid w:val="00D33FE5"/>
    <w:rsid w:val="00D50A79"/>
    <w:rsid w:val="00D51DB4"/>
    <w:rsid w:val="00D57B21"/>
    <w:rsid w:val="00D722CC"/>
    <w:rsid w:val="00D727F8"/>
    <w:rsid w:val="00DA362A"/>
    <w:rsid w:val="00E16A24"/>
    <w:rsid w:val="00E23474"/>
    <w:rsid w:val="00E62483"/>
    <w:rsid w:val="00E66558"/>
    <w:rsid w:val="00EC5E10"/>
    <w:rsid w:val="00F14316"/>
    <w:rsid w:val="00F23167"/>
    <w:rsid w:val="00F7411A"/>
    <w:rsid w:val="00F86728"/>
    <w:rsid w:val="00FE28ED"/>
    <w:rsid w:val="00FE3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80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guidance-reports/literacy-ks-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ducationendowmentfoundation.org.uk/education-evidence/guidance-reports/behaviou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evidence-reviews/social-and-emotional-learni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ducationendowmentfoundation.org.uk/education-evidence/evidence-reviews/teaching-assistants"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evidence-reviews/teaching-assista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1666</Words>
  <Characters>9497</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Anna Hawkins</cp:lastModifiedBy>
  <cp:revision>2</cp:revision>
  <cp:lastPrinted>2014-09-17T13:26:00Z</cp:lastPrinted>
  <dcterms:created xsi:type="dcterms:W3CDTF">2024-11-11T09:32:00Z</dcterms:created>
  <dcterms:modified xsi:type="dcterms:W3CDTF">2024-11-11T09:32:00Z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